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[2015] 64 taxmann.com 219 (Bombay)</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HIGH COURT OF BOMBAY</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Commissioner of Income-tax-8, Mumbai</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roofErr w:type="spellStart"/>
      <w:proofErr w:type="gramStart"/>
      <w:r w:rsidRPr="00882AE2">
        <w:rPr>
          <w:rFonts w:asciiTheme="majorHAnsi" w:eastAsia="Times New Roman" w:hAnsiTheme="majorHAnsi" w:cs="Times New Roman"/>
          <w:sz w:val="24"/>
          <w:szCs w:val="24"/>
          <w:lang w:eastAsia="en-IN"/>
        </w:rPr>
        <w:t>v.Chemosyn</w:t>
      </w:r>
      <w:proofErr w:type="spellEnd"/>
      <w:proofErr w:type="gramEnd"/>
      <w:r w:rsidRPr="00882AE2">
        <w:rPr>
          <w:rFonts w:asciiTheme="majorHAnsi" w:eastAsia="Times New Roman" w:hAnsiTheme="majorHAnsi" w:cs="Times New Roman"/>
          <w:sz w:val="24"/>
          <w:szCs w:val="24"/>
          <w:lang w:eastAsia="en-IN"/>
        </w:rPr>
        <w:t xml:space="preserve"> Ltd</w:t>
      </w:r>
      <w:bookmarkStart w:id="0" w:name="_GoBack"/>
      <w:bookmarkEnd w:id="0"/>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IT </w:t>
      </w:r>
      <w:proofErr w:type="gramStart"/>
      <w:r w:rsidRPr="00882AE2">
        <w:rPr>
          <w:rFonts w:asciiTheme="majorHAnsi" w:eastAsia="Times New Roman" w:hAnsiTheme="majorHAnsi" w:cs="Times New Roman"/>
          <w:sz w:val="24"/>
          <w:szCs w:val="24"/>
          <w:lang w:eastAsia="en-IN"/>
        </w:rPr>
        <w:t>APPEAL</w:t>
      </w:r>
      <w:proofErr w:type="gramEnd"/>
      <w:r w:rsidRPr="00882AE2">
        <w:rPr>
          <w:rFonts w:asciiTheme="majorHAnsi" w:eastAsia="Times New Roman" w:hAnsiTheme="majorHAnsi" w:cs="Times New Roman"/>
          <w:sz w:val="24"/>
          <w:szCs w:val="24"/>
          <w:lang w:eastAsia="en-IN"/>
        </w:rPr>
        <w:t xml:space="preserve"> NO. 361 OF 2013</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roofErr w:type="gramStart"/>
      <w:r w:rsidRPr="00882AE2">
        <w:rPr>
          <w:rFonts w:asciiTheme="majorHAnsi" w:eastAsia="Times New Roman" w:hAnsiTheme="majorHAnsi" w:cs="Times New Roman"/>
          <w:sz w:val="24"/>
          <w:szCs w:val="24"/>
          <w:lang w:eastAsia="en-IN"/>
        </w:rPr>
        <w:t>FEBRUARY  11</w:t>
      </w:r>
      <w:proofErr w:type="gramEnd"/>
      <w:r w:rsidRPr="00882AE2">
        <w:rPr>
          <w:rFonts w:asciiTheme="majorHAnsi" w:eastAsia="Times New Roman" w:hAnsiTheme="majorHAnsi" w:cs="Times New Roman"/>
          <w:sz w:val="24"/>
          <w:szCs w:val="24"/>
          <w:lang w:eastAsia="en-IN"/>
        </w:rPr>
        <w:t>, 2015 </w:t>
      </w:r>
    </w:p>
    <w:p w:rsidR="004611B1" w:rsidRPr="00882AE2" w:rsidRDefault="004611B1"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1. In this appeal by the revenue under section 260A of the Income Tax Act, 1961 (the Act) the challenge is to the order dated 7.9.2012 passed by the Income Tax Appellate Tribunal (for short the ' Tribunal'). The assessment year involved is A.Y. 2007-08.</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2. Mr. Pinto learned counsel appearing for the revenue submits that following re-framed questions of law arise for consideration of this Court:</w:t>
      </w:r>
    </w:p>
    <w:tbl>
      <w:tblPr>
        <w:tblW w:w="0" w:type="auto"/>
        <w:tblCellSpacing w:w="15" w:type="dxa"/>
        <w:tblInd w:w="28" w:type="dxa"/>
        <w:tblCellMar>
          <w:top w:w="15" w:type="dxa"/>
          <w:left w:w="15" w:type="dxa"/>
          <w:bottom w:w="15" w:type="dxa"/>
          <w:right w:w="15" w:type="dxa"/>
        </w:tblCellMar>
        <w:tblLook w:val="04A0" w:firstRow="1" w:lastRow="0" w:firstColumn="1" w:lastColumn="0" w:noHBand="0" w:noVBand="1"/>
      </w:tblPr>
      <w:tblGrid>
        <w:gridCol w:w="750"/>
        <w:gridCol w:w="113"/>
        <w:gridCol w:w="3861"/>
      </w:tblGrid>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"1.</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Whether in law and on the facts of the instant case the Tribunal was justified in holding that income in the form of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did not accrue to the company ignoring the fact that the Development agreement dated 16.06.2006 was executed by the company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w:t>
            </w:r>
          </w:p>
        </w:tc>
      </w:tr>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2.</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Whether in law and on the facts of the case was the Tribunal right in coming to the conclusion that no capital gains arose during the year, ignoring the fact that during the year development rights were transferred to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during the relevant financial year.</w:t>
            </w:r>
          </w:p>
        </w:tc>
      </w:tr>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3.</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Whether in law and on the facts of </w:t>
            </w:r>
            <w:r w:rsidRPr="00882AE2">
              <w:rPr>
                <w:rFonts w:asciiTheme="majorHAnsi" w:eastAsia="Times New Roman" w:hAnsiTheme="majorHAnsi" w:cs="Times New Roman"/>
                <w:sz w:val="24"/>
                <w:szCs w:val="24"/>
                <w:lang w:eastAsia="en-IN"/>
              </w:rPr>
              <w:lastRenderedPageBreak/>
              <w:t xml:space="preserve">the instant case, was the tribunal justified in holding the amount spent in acquiring a shareholding in </w:t>
            </w:r>
            <w:proofErr w:type="spellStart"/>
            <w:r w:rsidRPr="00882AE2">
              <w:rPr>
                <w:rFonts w:asciiTheme="majorHAnsi" w:eastAsia="Times New Roman" w:hAnsiTheme="majorHAnsi" w:cs="Times New Roman"/>
                <w:sz w:val="24"/>
                <w:szCs w:val="24"/>
                <w:lang w:eastAsia="en-IN"/>
              </w:rPr>
              <w:t>Umesh</w:t>
            </w:r>
            <w:proofErr w:type="spellEnd"/>
            <w:r w:rsidRPr="00882AE2">
              <w:rPr>
                <w:rFonts w:asciiTheme="majorHAnsi" w:eastAsia="Times New Roman" w:hAnsiTheme="majorHAnsi" w:cs="Times New Roman"/>
                <w:sz w:val="24"/>
                <w:szCs w:val="24"/>
                <w:lang w:eastAsia="en-IN"/>
              </w:rPr>
              <w:t xml:space="preserve"> Shah group, revenue when the expenditure pertained to a stake in the assets of the latter group?</w:t>
            </w:r>
          </w:p>
        </w:tc>
      </w:tr>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4.</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Whether in law and on the facts of the instant case was the Tribunal justified in its finding that the expenditure incurred on the family settlement is revenue, ignoring the finding of the CIT (A) who held it to be capital expenditure of a personal nature?</w:t>
            </w:r>
          </w:p>
        </w:tc>
      </w:tr>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5.</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Whether on the facts and in the circumstances of the case and in law, was the finding of the Tribunal perverse failing to appreciate that the expenditure on the family settlement was money paid to enable an individual director namely Samir Shah to acquire a majority stake and not for the business of the company?"</w:t>
            </w:r>
          </w:p>
        </w:tc>
      </w:tr>
    </w:tbl>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3. The questions as framed can be broadly divided into two issues:</w:t>
      </w:r>
    </w:p>
    <w:tbl>
      <w:tblPr>
        <w:tblW w:w="0" w:type="auto"/>
        <w:tblCellSpacing w:w="15" w:type="dxa"/>
        <w:tblInd w:w="28" w:type="dxa"/>
        <w:tblCellMar>
          <w:top w:w="15" w:type="dxa"/>
          <w:left w:w="15" w:type="dxa"/>
          <w:bottom w:w="15" w:type="dxa"/>
          <w:right w:w="15" w:type="dxa"/>
        </w:tblCellMar>
        <w:tblLook w:val="04A0" w:firstRow="1" w:lastRow="0" w:firstColumn="1" w:lastColumn="0" w:noHBand="0" w:noVBand="1"/>
      </w:tblPr>
      <w:tblGrid>
        <w:gridCol w:w="750"/>
        <w:gridCol w:w="113"/>
        <w:gridCol w:w="3861"/>
      </w:tblGrid>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Questions 1 and 2 relate to the issue-whether under development agreement dated 16.6.2006 capital gains can be said to have arisen in the subject assessment year to the extent of the value of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constructed area to be provided by </w:t>
            </w:r>
            <w:r w:rsidRPr="00882AE2">
              <w:rPr>
                <w:rFonts w:asciiTheme="majorHAnsi" w:eastAsia="Times New Roman" w:hAnsiTheme="majorHAnsi" w:cs="Times New Roman"/>
                <w:sz w:val="24"/>
                <w:szCs w:val="24"/>
                <w:lang w:eastAsia="en-IN"/>
              </w:rPr>
              <w:lastRenderedPageBreak/>
              <w:t xml:space="preserve">the developer even though the same was not provided </w:t>
            </w:r>
            <w:proofErr w:type="gramStart"/>
            <w:r w:rsidRPr="00882AE2">
              <w:rPr>
                <w:rFonts w:asciiTheme="majorHAnsi" w:eastAsia="Times New Roman" w:hAnsiTheme="majorHAnsi" w:cs="Times New Roman"/>
                <w:sz w:val="24"/>
                <w:szCs w:val="24"/>
                <w:lang w:eastAsia="en-IN"/>
              </w:rPr>
              <w:t>for ?</w:t>
            </w:r>
            <w:proofErr w:type="gramEnd"/>
            <w:r w:rsidRPr="00882AE2">
              <w:rPr>
                <w:rFonts w:asciiTheme="majorHAnsi" w:eastAsia="Times New Roman" w:hAnsiTheme="majorHAnsi" w:cs="Times New Roman"/>
                <w:sz w:val="24"/>
                <w:szCs w:val="24"/>
                <w:lang w:eastAsia="en-IN"/>
              </w:rPr>
              <w:t>"</w:t>
            </w:r>
          </w:p>
        </w:tc>
      </w:tr>
      <w:tr w:rsidR="006E1A44" w:rsidRPr="00882AE2" w:rsidTr="00E013C6">
        <w:trPr>
          <w:tblCellSpacing w:w="15" w:type="dxa"/>
        </w:trPr>
        <w:tc>
          <w:tcPr>
            <w:tcW w:w="705" w:type="dxa"/>
            <w:noWrap/>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(ii)</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w:t>
            </w:r>
          </w:p>
        </w:tc>
        <w:tc>
          <w:tcPr>
            <w:tcW w:w="0" w:type="auto"/>
            <w:tcMar>
              <w:top w:w="80" w:type="dxa"/>
              <w:left w:w="15" w:type="dxa"/>
              <w:bottom w:w="80" w:type="dxa"/>
              <w:right w:w="15" w:type="dxa"/>
            </w:tcMar>
            <w:hideMark/>
          </w:tcPr>
          <w:p w:rsidR="00E013C6" w:rsidRPr="00882AE2" w:rsidRDefault="00E013C6" w:rsidP="006E1A44">
            <w:pPr>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While Questions nos. 3 to 5 is whether the amounts paid by the respondent-assessee for purchase and subsequent cancellation of the shares belonging to an estranged brother of the person in the management of the company is in the nature of revenue expenditure or </w:t>
            </w:r>
            <w:proofErr w:type="gramStart"/>
            <w:r w:rsidRPr="00882AE2">
              <w:rPr>
                <w:rFonts w:asciiTheme="majorHAnsi" w:eastAsia="Times New Roman" w:hAnsiTheme="majorHAnsi" w:cs="Times New Roman"/>
                <w:sz w:val="24"/>
                <w:szCs w:val="24"/>
                <w:lang w:eastAsia="en-IN"/>
              </w:rPr>
              <w:t>not ?</w:t>
            </w:r>
            <w:proofErr w:type="gramEnd"/>
          </w:p>
        </w:tc>
      </w:tr>
    </w:tbl>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4. So far as the 1st issue is concerned, briefly the facts are that the respondent company owned two plots of land namely plot nos. 256 and 257. On 16.6.2006 the respondent-assessee entered into a development agreement with one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to develop plot no. 257 for a consideration of Rs. 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and construction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of built up area free of cost on plot No. 256. Thereafter on 5.7.2007 a tripartite agreement was entered into between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 new buyer and respondents under which both the plots were transferred to the new buyer at a total consideration of Rs.29.11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Thus, in the return of income filed on 31.10.2006 for subject Assessment year, the petitioner offered only an amount of Rs. 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for the purpose of capital</w:t>
      </w:r>
      <w:r w:rsidR="00C80B5F" w:rsidRPr="00882AE2">
        <w:rPr>
          <w:rFonts w:asciiTheme="majorHAnsi" w:eastAsia="Times New Roman" w:hAnsiTheme="majorHAnsi" w:cs="Times New Roman"/>
          <w:sz w:val="24"/>
          <w:szCs w:val="24"/>
          <w:lang w:eastAsia="en-IN"/>
        </w:rPr>
        <w:t xml:space="preserve"> </w:t>
      </w:r>
      <w:r w:rsidRPr="00882AE2">
        <w:rPr>
          <w:rFonts w:asciiTheme="majorHAnsi" w:eastAsia="Times New Roman" w:hAnsiTheme="majorHAnsi" w:cs="Times New Roman"/>
          <w:sz w:val="24"/>
          <w:szCs w:val="24"/>
          <w:lang w:eastAsia="en-IN"/>
        </w:rPr>
        <w:t>gains tax. This was as the development agreement dated 16.6.2006 stand rescinded/modified by the sale agreement dated 5.7.2007.</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5. For the following Assessment year viz. 2008-09 the respondent assessee did offer </w:t>
      </w:r>
      <w:r w:rsidRPr="00882AE2">
        <w:rPr>
          <w:rFonts w:asciiTheme="majorHAnsi" w:eastAsia="Times New Roman" w:hAnsiTheme="majorHAnsi" w:cs="Times New Roman"/>
          <w:sz w:val="24"/>
          <w:szCs w:val="24"/>
          <w:lang w:eastAsia="en-IN"/>
        </w:rPr>
        <w:lastRenderedPageBreak/>
        <w:t xml:space="preserve">as capital gains an amount of Rs. 13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being the difference between Rs 29.11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and Rs. 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received earlier from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and duly offered in the A.Y. 2007-08. The respondent pointed out that the consideration in the form of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sq.feet</w:t>
      </w:r>
      <w:proofErr w:type="spellEnd"/>
      <w:proofErr w:type="gramEnd"/>
      <w:r w:rsidRPr="00882AE2">
        <w:rPr>
          <w:rFonts w:asciiTheme="majorHAnsi" w:eastAsia="Times New Roman" w:hAnsiTheme="majorHAnsi" w:cs="Times New Roman"/>
          <w:sz w:val="24"/>
          <w:szCs w:val="24"/>
          <w:lang w:eastAsia="en-IN"/>
        </w:rPr>
        <w:t xml:space="preserve"> is concerned, the same was neither received nor had accrued and therefore, no occasion to bring it to tax could arise. The Assessing Officer did not accept the contention of the petitioner and concluded that in view of the decision of this Court in Chaturbhuj Dwarkadas Kapadia of Bombay v. CIT </w:t>
      </w:r>
      <w:hyperlink r:id="rId6" w:history="1">
        <w:r w:rsidRPr="00882AE2">
          <w:rPr>
            <w:rFonts w:asciiTheme="majorHAnsi" w:eastAsia="Times New Roman" w:hAnsiTheme="majorHAnsi" w:cs="Times New Roman"/>
            <w:sz w:val="24"/>
            <w:szCs w:val="24"/>
            <w:lang w:eastAsia="en-IN"/>
          </w:rPr>
          <w:t>[2003] 260 ITR 491/129 Taxman 497</w:t>
        </w:r>
      </w:hyperlink>
      <w:r w:rsidRPr="00882AE2">
        <w:rPr>
          <w:rFonts w:asciiTheme="majorHAnsi" w:eastAsia="Times New Roman" w:hAnsiTheme="majorHAnsi" w:cs="Times New Roman"/>
          <w:sz w:val="24"/>
          <w:szCs w:val="24"/>
          <w:lang w:eastAsia="en-IN"/>
        </w:rPr>
        <w:t xml:space="preserve"> capital gains tax would be payable on the market value of the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construction to be carried out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Resultantly, an addition of Rs. 9.51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was made on the basis of Ready </w:t>
      </w:r>
      <w:proofErr w:type="spellStart"/>
      <w:r w:rsidRPr="00882AE2">
        <w:rPr>
          <w:rFonts w:asciiTheme="majorHAnsi" w:eastAsia="Times New Roman" w:hAnsiTheme="majorHAnsi" w:cs="Times New Roman"/>
          <w:sz w:val="24"/>
          <w:szCs w:val="24"/>
          <w:lang w:eastAsia="en-IN"/>
        </w:rPr>
        <w:t>Rekoner</w:t>
      </w:r>
      <w:proofErr w:type="spellEnd"/>
      <w:r w:rsidRPr="00882AE2">
        <w:rPr>
          <w:rFonts w:asciiTheme="majorHAnsi" w:eastAsia="Times New Roman" w:hAnsiTheme="majorHAnsi" w:cs="Times New Roman"/>
          <w:sz w:val="24"/>
          <w:szCs w:val="24"/>
          <w:lang w:eastAsia="en-IN"/>
        </w:rPr>
        <w:t xml:space="preserve"> rates as long term capital gains. Thus, determining the respondent-</w:t>
      </w:r>
      <w:proofErr w:type="spellStart"/>
      <w:r w:rsidRPr="00882AE2">
        <w:rPr>
          <w:rFonts w:asciiTheme="majorHAnsi" w:eastAsia="Times New Roman" w:hAnsiTheme="majorHAnsi" w:cs="Times New Roman"/>
          <w:sz w:val="24"/>
          <w:szCs w:val="24"/>
          <w:lang w:eastAsia="en-IN"/>
        </w:rPr>
        <w:t>assessee's</w:t>
      </w:r>
      <w:proofErr w:type="spellEnd"/>
      <w:r w:rsidRPr="00882AE2">
        <w:rPr>
          <w:rFonts w:asciiTheme="majorHAnsi" w:eastAsia="Times New Roman" w:hAnsiTheme="majorHAnsi" w:cs="Times New Roman"/>
          <w:sz w:val="24"/>
          <w:szCs w:val="24"/>
          <w:lang w:eastAsia="en-IN"/>
        </w:rPr>
        <w:t xml:space="preserve"> income at Rs. 19.94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for the A.Y. 2007-08 by order dated 2nd December, 2009.</w:t>
      </w:r>
    </w:p>
    <w:p w:rsidR="00C80B5F" w:rsidRPr="00882AE2" w:rsidRDefault="00C80B5F"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6. In appeal, the Commissioner of Income Tax (Appeals) (CIT (A) did not accept the petitioner's contention and upheld the Assessing Officer's order by relying upon decision of this Court in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xml:space="preserve"> of Bombay's case (supra). However, the CIT (A) held the consideration for the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constructed area is to be arrived at on the basis of cost of construction and not the Ready Reckoner rates adopted by the </w:t>
      </w:r>
      <w:r w:rsidRPr="00882AE2">
        <w:rPr>
          <w:rFonts w:asciiTheme="majorHAnsi" w:eastAsia="Times New Roman" w:hAnsiTheme="majorHAnsi" w:cs="Times New Roman"/>
          <w:sz w:val="24"/>
          <w:szCs w:val="24"/>
          <w:lang w:eastAsia="en-IN"/>
        </w:rPr>
        <w:lastRenderedPageBreak/>
        <w:t xml:space="preserve">Assessing Officer. Consequently, the consideration to be brought to tax was an amount Rs. 2.17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On further appeal, the Tribunal set aside the orders of the Assessing Officer and the CIT (A) by holding that the decision of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of Bombay (supra) would not apply in the facts of the present case as in this case there is no dispute as to transfer of property taking place as a result of the development agreement. The dispute is with regard to quantum of sale consideration to be taken for the purpose of computing capital gains. Moreover, the Tribunal also placed reliance upon decision of </w:t>
      </w:r>
      <w:proofErr w:type="spellStart"/>
      <w:r w:rsidRPr="00882AE2">
        <w:rPr>
          <w:rFonts w:asciiTheme="majorHAnsi" w:eastAsia="Times New Roman" w:hAnsiTheme="majorHAnsi" w:cs="Times New Roman"/>
          <w:sz w:val="24"/>
          <w:szCs w:val="24"/>
          <w:lang w:eastAsia="en-IN"/>
        </w:rPr>
        <w:t>Kalpataru</w:t>
      </w:r>
      <w:proofErr w:type="spellEnd"/>
      <w:r w:rsidRPr="00882AE2">
        <w:rPr>
          <w:rFonts w:asciiTheme="majorHAnsi" w:eastAsia="Times New Roman" w:hAnsiTheme="majorHAnsi" w:cs="Times New Roman"/>
          <w:sz w:val="24"/>
          <w:szCs w:val="24"/>
          <w:lang w:eastAsia="en-IN"/>
        </w:rPr>
        <w:t xml:space="preserve"> Construction Overseas (P.) </w:t>
      </w:r>
      <w:proofErr w:type="gramStart"/>
      <w:r w:rsidRPr="00882AE2">
        <w:rPr>
          <w:rFonts w:asciiTheme="majorHAnsi" w:eastAsia="Times New Roman" w:hAnsiTheme="majorHAnsi" w:cs="Times New Roman"/>
          <w:sz w:val="24"/>
          <w:szCs w:val="24"/>
          <w:lang w:eastAsia="en-IN"/>
        </w:rPr>
        <w:t>Ltd. v. Dy. CIT </w:t>
      </w:r>
      <w:hyperlink r:id="rId7" w:history="1">
        <w:r w:rsidRPr="00882AE2">
          <w:rPr>
            <w:rFonts w:asciiTheme="majorHAnsi" w:eastAsia="Times New Roman" w:hAnsiTheme="majorHAnsi" w:cs="Times New Roman"/>
            <w:sz w:val="24"/>
            <w:szCs w:val="24"/>
            <w:lang w:eastAsia="en-IN"/>
          </w:rPr>
          <w:t>[2007] 13 SOT 194 (Mum.)</w:t>
        </w:r>
        <w:proofErr w:type="gramEnd"/>
      </w:hyperlink>
      <w:r w:rsidRPr="00882AE2">
        <w:rPr>
          <w:rFonts w:asciiTheme="majorHAnsi" w:eastAsia="Times New Roman" w:hAnsiTheme="majorHAnsi" w:cs="Times New Roman"/>
          <w:sz w:val="24"/>
          <w:szCs w:val="24"/>
          <w:lang w:eastAsia="en-IN"/>
        </w:rPr>
        <w:t> </w:t>
      </w:r>
      <w:proofErr w:type="gramStart"/>
      <w:r w:rsidRPr="00882AE2">
        <w:rPr>
          <w:rFonts w:asciiTheme="majorHAnsi" w:eastAsia="Times New Roman" w:hAnsiTheme="majorHAnsi" w:cs="Times New Roman"/>
          <w:sz w:val="24"/>
          <w:szCs w:val="24"/>
          <w:lang w:eastAsia="en-IN"/>
        </w:rPr>
        <w:t>wherein</w:t>
      </w:r>
      <w:proofErr w:type="gramEnd"/>
      <w:r w:rsidRPr="00882AE2">
        <w:rPr>
          <w:rFonts w:asciiTheme="majorHAnsi" w:eastAsia="Times New Roman" w:hAnsiTheme="majorHAnsi" w:cs="Times New Roman"/>
          <w:sz w:val="24"/>
          <w:szCs w:val="24"/>
          <w:lang w:eastAsia="en-IN"/>
        </w:rPr>
        <w:t xml:space="preserve"> on similar facts the Tribunal had held that where consideration to be received originally was Rs. 1.25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but, finally settled at Rs. 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then such a subsequent settling of the consideration of at Rs. 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although arrived at a subsequent year it would relate back to an earlier assessment year. Further, the Tribunal also placed reliance upon the decision of this Court in CIT v. </w:t>
      </w:r>
      <w:proofErr w:type="spellStart"/>
      <w:r w:rsidRPr="00882AE2">
        <w:rPr>
          <w:rFonts w:asciiTheme="majorHAnsi" w:eastAsia="Times New Roman" w:hAnsiTheme="majorHAnsi" w:cs="Times New Roman"/>
          <w:sz w:val="24"/>
          <w:szCs w:val="24"/>
          <w:lang w:eastAsia="en-IN"/>
        </w:rPr>
        <w:t>Shivsagar</w:t>
      </w:r>
      <w:proofErr w:type="spellEnd"/>
      <w:r w:rsidRPr="00882AE2">
        <w:rPr>
          <w:rFonts w:asciiTheme="majorHAnsi" w:eastAsia="Times New Roman" w:hAnsiTheme="majorHAnsi" w:cs="Times New Roman"/>
          <w:sz w:val="24"/>
          <w:szCs w:val="24"/>
          <w:lang w:eastAsia="en-IN"/>
        </w:rPr>
        <w:t xml:space="preserve"> Estates (AOP) </w:t>
      </w:r>
      <w:hyperlink r:id="rId8" w:history="1">
        <w:r w:rsidRPr="00882AE2">
          <w:rPr>
            <w:rFonts w:asciiTheme="majorHAnsi" w:eastAsia="Times New Roman" w:hAnsiTheme="majorHAnsi" w:cs="Times New Roman"/>
            <w:sz w:val="24"/>
            <w:szCs w:val="24"/>
            <w:lang w:eastAsia="en-IN"/>
          </w:rPr>
          <w:t>[1993] 204 ITR 1</w:t>
        </w:r>
      </w:hyperlink>
      <w:r w:rsidRPr="00882AE2">
        <w:rPr>
          <w:rFonts w:asciiTheme="majorHAnsi" w:eastAsia="Times New Roman" w:hAnsiTheme="majorHAnsi" w:cs="Times New Roman"/>
          <w:sz w:val="24"/>
          <w:szCs w:val="24"/>
          <w:lang w:eastAsia="en-IN"/>
        </w:rPr>
        <w:t xml:space="preserve"> to conclude that on the basis of real income theory in the facts of the present case no income on account of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constructed area has either been accrued or received for it to be brought to tax.</w:t>
      </w:r>
    </w:p>
    <w:p w:rsidR="008E5ABB" w:rsidRPr="00882AE2" w:rsidRDefault="008E5ABB"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7. Grievance of the revenue is that the decision of</w:t>
      </w:r>
      <w:r w:rsidR="00C80B5F" w:rsidRPr="00882AE2">
        <w:rPr>
          <w:rFonts w:asciiTheme="majorHAnsi" w:eastAsia="Times New Roman" w:hAnsiTheme="majorHAnsi" w:cs="Times New Roman"/>
          <w:sz w:val="24"/>
          <w:szCs w:val="24"/>
          <w:lang w:eastAsia="en-IN"/>
        </w:rPr>
        <w:t xml:space="preserve"> </w:t>
      </w:r>
      <w:r w:rsidRPr="00882AE2">
        <w:rPr>
          <w:rFonts w:asciiTheme="majorHAnsi" w:eastAsia="Times New Roman" w:hAnsiTheme="majorHAnsi" w:cs="Times New Roman"/>
          <w:sz w:val="24"/>
          <w:szCs w:val="24"/>
          <w:lang w:eastAsia="en-IN"/>
        </w:rPr>
        <w:t>this</w:t>
      </w:r>
      <w:r w:rsidR="00C80B5F"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Court</w:t>
      </w:r>
      <w:r w:rsidR="00C80B5F" w:rsidRPr="00882AE2">
        <w:rPr>
          <w:rFonts w:asciiTheme="majorHAnsi" w:eastAsia="Times New Roman" w:hAnsiTheme="majorHAnsi" w:cs="Times New Roman"/>
          <w:sz w:val="24"/>
          <w:szCs w:val="24"/>
          <w:lang w:eastAsia="en-IN"/>
        </w:rPr>
        <w:t xml:space="preserve"> </w:t>
      </w:r>
      <w:r w:rsidRPr="00882AE2">
        <w:rPr>
          <w:rFonts w:asciiTheme="majorHAnsi" w:eastAsia="Times New Roman" w:hAnsiTheme="majorHAnsi" w:cs="Times New Roman"/>
          <w:sz w:val="24"/>
          <w:szCs w:val="24"/>
          <w:lang w:eastAsia="en-IN"/>
        </w:rPr>
        <w:t> in</w:t>
      </w:r>
      <w:proofErr w:type="gramEnd"/>
      <w:r w:rsidR="00C80B5F" w:rsidRPr="00882AE2">
        <w:rPr>
          <w:rFonts w:asciiTheme="majorHAnsi" w:eastAsia="Times New Roman" w:hAnsiTheme="majorHAnsi" w:cs="Times New Roman"/>
          <w:sz w:val="24"/>
          <w:szCs w:val="24"/>
          <w:lang w:eastAsia="en-IN"/>
        </w:rPr>
        <w:t xml:space="preserve"> </w:t>
      </w:r>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of </w:t>
      </w:r>
      <w:r w:rsidRPr="00882AE2">
        <w:rPr>
          <w:rFonts w:asciiTheme="majorHAnsi" w:eastAsia="Times New Roman" w:hAnsiTheme="majorHAnsi" w:cs="Times New Roman"/>
          <w:sz w:val="24"/>
          <w:szCs w:val="24"/>
          <w:lang w:eastAsia="en-IN"/>
        </w:rPr>
        <w:lastRenderedPageBreak/>
        <w:t>Bombay (supra) should apply to the present facts. As pointed out by the Tribunal, the issue before the Court in the above case was to determine the year in which the property was transferred for the purpose of capital gains. In this case the issue is what is the consideration received for the transfer of an asset. Thus, reliance upon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of Bombay (supra) does not assist the revenue. We specifically asked the revenue whether the decision of the Tribunal in </w:t>
      </w:r>
      <w:proofErr w:type="spellStart"/>
      <w:r w:rsidRPr="00882AE2">
        <w:rPr>
          <w:rFonts w:asciiTheme="majorHAnsi" w:eastAsia="Times New Roman" w:hAnsiTheme="majorHAnsi" w:cs="Times New Roman"/>
          <w:sz w:val="24"/>
          <w:szCs w:val="24"/>
          <w:lang w:eastAsia="en-IN"/>
        </w:rPr>
        <w:t>Kalpataru</w:t>
      </w:r>
      <w:proofErr w:type="spellEnd"/>
      <w:r w:rsidRPr="00882AE2">
        <w:rPr>
          <w:rFonts w:asciiTheme="majorHAnsi" w:eastAsia="Times New Roman" w:hAnsiTheme="majorHAnsi" w:cs="Times New Roman"/>
          <w:sz w:val="24"/>
          <w:szCs w:val="24"/>
          <w:lang w:eastAsia="en-IN"/>
        </w:rPr>
        <w:t xml:space="preserve"> Construction Overseas (P.) Ltd. (supra) has been appealed to this Court and to which the answer was "we do not know".</w:t>
      </w:r>
    </w:p>
    <w:p w:rsidR="008E5ABB" w:rsidRPr="00882AE2" w:rsidRDefault="008E5ABB"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8. We find that on facts the impugned order of Tribunal has held that no income has been accrued or received of the value of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constructed area under the development agreement dated 16.6.2006. This on account of the fact that the agreement dated 16.6.2006 was not acted upon as it came to be superseded/modified by the Tripartite agreement dated 6.7.2007. This was the position when the return of income was filed. The income accrued and earned under the subsequent agreement dated 6.7.2002 was offered as capital gains in the subsequent years. Therefore, on the application of the real income theory, the Tribunal held that on these facts there would be neither accrual nor receipt of income to warrant bringing to tax to the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which has not been received by the respondent-assessee. As </w:t>
      </w:r>
      <w:r w:rsidRPr="00882AE2">
        <w:rPr>
          <w:rFonts w:asciiTheme="majorHAnsi" w:eastAsia="Times New Roman" w:hAnsiTheme="majorHAnsi" w:cs="Times New Roman"/>
          <w:sz w:val="24"/>
          <w:szCs w:val="24"/>
          <w:lang w:eastAsia="en-IN"/>
        </w:rPr>
        <w:lastRenderedPageBreak/>
        <w:t>observed by the Apex Court in CIT v. </w:t>
      </w:r>
      <w:proofErr w:type="spellStart"/>
      <w:r w:rsidRPr="00882AE2">
        <w:rPr>
          <w:rFonts w:asciiTheme="majorHAnsi" w:eastAsia="Times New Roman" w:hAnsiTheme="majorHAnsi" w:cs="Times New Roman"/>
          <w:sz w:val="24"/>
          <w:szCs w:val="24"/>
          <w:lang w:eastAsia="en-IN"/>
        </w:rPr>
        <w:t>Shoorji</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Vallabhdas</w:t>
      </w:r>
      <w:proofErr w:type="spellEnd"/>
      <w:r w:rsidRPr="00882AE2">
        <w:rPr>
          <w:rFonts w:asciiTheme="majorHAnsi" w:eastAsia="Times New Roman" w:hAnsiTheme="majorHAnsi" w:cs="Times New Roman"/>
          <w:sz w:val="24"/>
          <w:szCs w:val="24"/>
          <w:lang w:eastAsia="en-IN"/>
        </w:rPr>
        <w:t xml:space="preserve"> &amp; Co. </w:t>
      </w:r>
      <w:hyperlink r:id="rId9" w:history="1">
        <w:r w:rsidRPr="00882AE2">
          <w:rPr>
            <w:rFonts w:asciiTheme="majorHAnsi" w:eastAsia="Times New Roman" w:hAnsiTheme="majorHAnsi" w:cs="Times New Roman"/>
            <w:sz w:val="24"/>
            <w:szCs w:val="24"/>
            <w:lang w:eastAsia="en-IN"/>
          </w:rPr>
          <w:t>[1962] 46 ITR 144</w:t>
        </w:r>
      </w:hyperlink>
      <w:r w:rsidRPr="00882AE2">
        <w:rPr>
          <w:rFonts w:asciiTheme="majorHAnsi" w:eastAsia="Times New Roman" w:hAnsiTheme="majorHAnsi" w:cs="Times New Roman"/>
          <w:sz w:val="24"/>
          <w:szCs w:val="24"/>
          <w:lang w:eastAsia="en-IN"/>
        </w:rPr>
        <w:t> :</w:t>
      </w:r>
    </w:p>
    <w:p w:rsidR="00E013C6" w:rsidRPr="00882AE2" w:rsidRDefault="00E013C6" w:rsidP="006E1A44">
      <w:pPr>
        <w:shd w:val="clear" w:color="auto" w:fill="FFFFFF"/>
        <w:spacing w:before="80" w:after="0" w:line="240" w:lineRule="auto"/>
        <w:ind w:left="454"/>
        <w:rPr>
          <w:rFonts w:asciiTheme="majorHAnsi" w:eastAsia="Times New Roman" w:hAnsiTheme="majorHAnsi" w:cs="Times New Roman"/>
          <w:sz w:val="24"/>
          <w:szCs w:val="24"/>
          <w:lang w:eastAsia="en-IN"/>
        </w:rPr>
      </w:pPr>
      <w:proofErr w:type="gramStart"/>
      <w:r w:rsidRPr="00882AE2">
        <w:rPr>
          <w:rFonts w:asciiTheme="majorHAnsi" w:eastAsia="Times New Roman" w:hAnsiTheme="majorHAnsi" w:cs="Times New Roman"/>
          <w:sz w:val="24"/>
          <w:szCs w:val="24"/>
          <w:lang w:eastAsia="en-IN"/>
        </w:rPr>
        <w:t>" Income</w:t>
      </w:r>
      <w:proofErr w:type="gramEnd"/>
      <w:r w:rsidRPr="00882AE2">
        <w:rPr>
          <w:rFonts w:asciiTheme="majorHAnsi" w:eastAsia="Times New Roman" w:hAnsiTheme="majorHAnsi" w:cs="Times New Roman"/>
          <w:sz w:val="24"/>
          <w:szCs w:val="24"/>
          <w:lang w:eastAsia="en-IN"/>
        </w:rPr>
        <w:t>-tax is a levy on income. No doubt, the Income-Tax Act takes into account two points of time at which the liability to tax is attracted viz., the accrual of the income or its receipt; but the substance of the matter is the income. If income does not result at all, there cannot be a tax, even though in book keeping, an entry is made about a 'hypothetical income' which does not materialise. Where income tax, has in fact, been received and is subsequently given up in such circumstances that it remains the income of the recipient, even though given up, the tax may be payable. Where, however, the income can be said not to have resulted at all, there is obviously neither accrual nor receipt of income, even though an entry to that effect might, in certain circumstances, have been made in the books of account." (Emphasis supplied)</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Thus no income has either accrued or received in the form of 18000 </w:t>
      </w:r>
      <w:proofErr w:type="spellStart"/>
      <w:r w:rsidRPr="00882AE2">
        <w:rPr>
          <w:rFonts w:asciiTheme="majorHAnsi" w:eastAsia="Times New Roman" w:hAnsiTheme="majorHAnsi" w:cs="Times New Roman"/>
          <w:sz w:val="24"/>
          <w:szCs w:val="24"/>
          <w:lang w:eastAsia="en-IN"/>
        </w:rPr>
        <w:t>sq.feet</w:t>
      </w:r>
      <w:proofErr w:type="spellEnd"/>
      <w:r w:rsidRPr="00882AE2">
        <w:rPr>
          <w:rFonts w:asciiTheme="majorHAnsi" w:eastAsia="Times New Roman" w:hAnsiTheme="majorHAnsi" w:cs="Times New Roman"/>
          <w:sz w:val="24"/>
          <w:szCs w:val="24"/>
          <w:lang w:eastAsia="en-IN"/>
        </w:rPr>
        <w:t xml:space="preserve"> of constructed area. No occasion to tax the same can arise. The Tribunal on consideration of facts has reached a finding of fact that no income in respect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of constructed area has been accrued or received. This finding cannot be said to be perverse or arbitrary. According to us no substantial question of law arises to warrant interference with the order of the Tribunal. Thus, question nos. 1 and 2 are dismissed.</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roofErr w:type="gramStart"/>
      <w:r w:rsidRPr="00882AE2">
        <w:rPr>
          <w:rFonts w:asciiTheme="majorHAnsi" w:eastAsia="Times New Roman" w:hAnsiTheme="majorHAnsi" w:cs="Times New Roman"/>
          <w:sz w:val="24"/>
          <w:szCs w:val="24"/>
          <w:lang w:eastAsia="en-IN"/>
        </w:rPr>
        <w:lastRenderedPageBreak/>
        <w:t>[2012] 25 taxmann.com 325 (Mum.)</w:t>
      </w:r>
      <w:proofErr w:type="gramEnd"/>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IN THE ITAT MUMBAI BENCH 'C'</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roofErr w:type="spellStart"/>
      <w:r w:rsidRPr="00882AE2">
        <w:rPr>
          <w:rFonts w:asciiTheme="majorHAnsi" w:eastAsia="Times New Roman" w:hAnsiTheme="majorHAnsi" w:cs="Times New Roman"/>
          <w:sz w:val="24"/>
          <w:szCs w:val="24"/>
          <w:lang w:eastAsia="en-IN"/>
        </w:rPr>
        <w:t>Chemosyn</w:t>
      </w:r>
      <w:proofErr w:type="spellEnd"/>
      <w:r w:rsidRPr="00882AE2">
        <w:rPr>
          <w:rFonts w:asciiTheme="majorHAnsi" w:eastAsia="Times New Roman" w:hAnsiTheme="majorHAnsi" w:cs="Times New Roman"/>
          <w:sz w:val="24"/>
          <w:szCs w:val="24"/>
          <w:lang w:eastAsia="en-IN"/>
        </w:rPr>
        <w:t xml:space="preserve"> Ltd.</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roofErr w:type="gramStart"/>
      <w:r w:rsidRPr="00882AE2">
        <w:rPr>
          <w:rFonts w:asciiTheme="majorHAnsi" w:eastAsia="Times New Roman" w:hAnsiTheme="majorHAnsi" w:cs="Times New Roman"/>
          <w:sz w:val="24"/>
          <w:szCs w:val="24"/>
          <w:lang w:eastAsia="en-IN"/>
        </w:rPr>
        <w:t>v</w:t>
      </w:r>
      <w:proofErr w:type="gramEnd"/>
      <w:r w:rsidRPr="00882AE2">
        <w:rPr>
          <w:rFonts w:asciiTheme="majorHAnsi" w:eastAsia="Times New Roman" w:hAnsiTheme="majorHAnsi" w:cs="Times New Roman"/>
          <w:sz w:val="24"/>
          <w:szCs w:val="24"/>
          <w:lang w:eastAsia="en-IN"/>
        </w:rPr>
        <w:t>.</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Assistant Commissioner of Income-tax, 8(3) (OSD), Mumbai*</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IT </w:t>
      </w:r>
      <w:proofErr w:type="gramStart"/>
      <w:r w:rsidRPr="00882AE2">
        <w:rPr>
          <w:rFonts w:asciiTheme="majorHAnsi" w:eastAsia="Times New Roman" w:hAnsiTheme="majorHAnsi" w:cs="Times New Roman"/>
          <w:sz w:val="24"/>
          <w:szCs w:val="24"/>
          <w:lang w:eastAsia="en-IN"/>
        </w:rPr>
        <w:t>APPEAL</w:t>
      </w:r>
      <w:proofErr w:type="gramEnd"/>
      <w:r w:rsidRPr="00882AE2">
        <w:rPr>
          <w:rFonts w:asciiTheme="majorHAnsi" w:eastAsia="Times New Roman" w:hAnsiTheme="majorHAnsi" w:cs="Times New Roman"/>
          <w:sz w:val="24"/>
          <w:szCs w:val="24"/>
          <w:lang w:eastAsia="en-IN"/>
        </w:rPr>
        <w:t xml:space="preserve"> NO. </w:t>
      </w:r>
      <w:proofErr w:type="gramStart"/>
      <w:r w:rsidRPr="00882AE2">
        <w:rPr>
          <w:rFonts w:asciiTheme="majorHAnsi" w:eastAsia="Times New Roman" w:hAnsiTheme="majorHAnsi" w:cs="Times New Roman"/>
          <w:sz w:val="24"/>
          <w:szCs w:val="24"/>
          <w:lang w:eastAsia="en-IN"/>
        </w:rPr>
        <w:t>6382 (MUM.)</w:t>
      </w:r>
      <w:proofErr w:type="gramEnd"/>
      <w:r w:rsidRPr="00882AE2">
        <w:rPr>
          <w:rFonts w:asciiTheme="majorHAnsi" w:eastAsia="Times New Roman" w:hAnsiTheme="majorHAnsi" w:cs="Times New Roman"/>
          <w:sz w:val="24"/>
          <w:szCs w:val="24"/>
          <w:lang w:eastAsia="en-IN"/>
        </w:rPr>
        <w:t xml:space="preserve"> OF 2011</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[ASSESSMENT YEAR 2007-08]</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SEPTEMBER 7, 2012</w:t>
      </w:r>
    </w:p>
    <w:p w:rsidR="00901EA2" w:rsidRPr="00882AE2" w:rsidRDefault="00901EA2"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ORDER</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P.M. </w:t>
      </w:r>
      <w:proofErr w:type="spellStart"/>
      <w:r w:rsidRPr="00882AE2">
        <w:rPr>
          <w:rFonts w:asciiTheme="majorHAnsi" w:eastAsia="Times New Roman" w:hAnsiTheme="majorHAnsi" w:cs="Times New Roman"/>
          <w:sz w:val="24"/>
          <w:szCs w:val="24"/>
          <w:lang w:eastAsia="en-IN"/>
        </w:rPr>
        <w:t>Jagtap</w:t>
      </w:r>
      <w:proofErr w:type="spellEnd"/>
      <w:r w:rsidRPr="00882AE2">
        <w:rPr>
          <w:rFonts w:asciiTheme="majorHAnsi" w:eastAsia="Times New Roman" w:hAnsiTheme="majorHAnsi" w:cs="Times New Roman"/>
          <w:sz w:val="24"/>
          <w:szCs w:val="24"/>
          <w:lang w:eastAsia="en-IN"/>
        </w:rPr>
        <w:t xml:space="preserve">, Accountant Member - This appeal filed by the assessee is directed against the order of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Appeals)-16, Mumbai dated 01-07-2011.</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2. The issue raised by the assessee in ground No.1 of this appeal relates to the addition made by the AO and sustained by the learned CIT(Appeals) to the extent of Rs. 2,17,88,000/- on account of alleged consideration in the form of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as</w:t>
      </w:r>
      <w:proofErr w:type="gramEnd"/>
      <w:r w:rsidRPr="00882AE2">
        <w:rPr>
          <w:rFonts w:asciiTheme="majorHAnsi" w:eastAsia="Times New Roman" w:hAnsiTheme="majorHAnsi" w:cs="Times New Roman"/>
          <w:sz w:val="24"/>
          <w:szCs w:val="24"/>
          <w:lang w:eastAsia="en-IN"/>
        </w:rPr>
        <w:t xml:space="preserve"> capital gain.</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3. The assessee in the present case is a company which is engaged in the business of manufacturing and trading of pharmaceutical products. The return of income for the year under consideration was filed by it on 31-10-2007 declaring total income of Rs. 3,61,95,670/-. The assessee company was owner of two plots of land bearing CTS No. 256 and 257 at village </w:t>
      </w:r>
      <w:proofErr w:type="spellStart"/>
      <w:r w:rsidRPr="00882AE2">
        <w:rPr>
          <w:rFonts w:asciiTheme="majorHAnsi" w:eastAsia="Times New Roman" w:hAnsiTheme="majorHAnsi" w:cs="Times New Roman"/>
          <w:sz w:val="24"/>
          <w:szCs w:val="24"/>
          <w:lang w:eastAsia="en-IN"/>
        </w:rPr>
        <w:t>Gundavali</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Taluka</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Andheri</w:t>
      </w:r>
      <w:proofErr w:type="spellEnd"/>
      <w:r w:rsidRPr="00882AE2">
        <w:rPr>
          <w:rFonts w:asciiTheme="majorHAnsi" w:eastAsia="Times New Roman" w:hAnsiTheme="majorHAnsi" w:cs="Times New Roman"/>
          <w:sz w:val="24"/>
          <w:szCs w:val="24"/>
          <w:lang w:eastAsia="en-IN"/>
        </w:rPr>
        <w:t xml:space="preserve">, District Mumbai. The area of plot No. 257 was approximately 1713 </w:t>
      </w:r>
      <w:proofErr w:type="spellStart"/>
      <w:r w:rsidRPr="00882AE2">
        <w:rPr>
          <w:rFonts w:asciiTheme="majorHAnsi" w:eastAsia="Times New Roman" w:hAnsiTheme="majorHAnsi" w:cs="Times New Roman"/>
          <w:sz w:val="24"/>
          <w:szCs w:val="24"/>
          <w:lang w:eastAsia="en-IN"/>
        </w:rPr>
        <w:t>sq.mtrs</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and</w:t>
      </w:r>
      <w:proofErr w:type="gramEnd"/>
      <w:r w:rsidRPr="00882AE2">
        <w:rPr>
          <w:rFonts w:asciiTheme="majorHAnsi" w:eastAsia="Times New Roman" w:hAnsiTheme="majorHAnsi" w:cs="Times New Roman"/>
          <w:sz w:val="24"/>
          <w:szCs w:val="24"/>
          <w:lang w:eastAsia="en-IN"/>
        </w:rPr>
        <w:t xml:space="preserve"> by a development agreement entered into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the development rights therein were agreed to be sold by the assessee for consideration of </w:t>
      </w:r>
      <w:r w:rsidRPr="00882AE2">
        <w:rPr>
          <w:rFonts w:asciiTheme="majorHAnsi" w:eastAsia="Times New Roman" w:hAnsiTheme="majorHAnsi" w:cs="Times New Roman"/>
          <w:sz w:val="24"/>
          <w:szCs w:val="24"/>
          <w:lang w:eastAsia="en-IN"/>
        </w:rPr>
        <w:lastRenderedPageBreak/>
        <w:t xml:space="preserve">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had also agreed to construct </w:t>
      </w:r>
      <w:proofErr w:type="gramStart"/>
      <w:r w:rsidRPr="00882AE2">
        <w:rPr>
          <w:rFonts w:asciiTheme="majorHAnsi" w:eastAsia="Times New Roman" w:hAnsiTheme="majorHAnsi" w:cs="Times New Roman"/>
          <w:sz w:val="24"/>
          <w:szCs w:val="24"/>
          <w:lang w:eastAsia="en-IN"/>
        </w:rPr>
        <w:t xml:space="preserve">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of</w:t>
      </w:r>
      <w:proofErr w:type="gramEnd"/>
      <w:r w:rsidRPr="00882AE2">
        <w:rPr>
          <w:rFonts w:asciiTheme="majorHAnsi" w:eastAsia="Times New Roman" w:hAnsiTheme="majorHAnsi" w:cs="Times New Roman"/>
          <w:sz w:val="24"/>
          <w:szCs w:val="24"/>
          <w:lang w:eastAsia="en-IN"/>
        </w:rPr>
        <w:t xml:space="preserve"> carpet area for the benefit of the assessee on plot No. 256 which was admeasuring 3899.4 </w:t>
      </w:r>
      <w:proofErr w:type="spellStart"/>
      <w:r w:rsidRPr="00882AE2">
        <w:rPr>
          <w:rFonts w:asciiTheme="majorHAnsi" w:eastAsia="Times New Roman" w:hAnsiTheme="majorHAnsi" w:cs="Times New Roman"/>
          <w:sz w:val="24"/>
          <w:szCs w:val="24"/>
          <w:lang w:eastAsia="en-IN"/>
        </w:rPr>
        <w:t>sq.mtrs</w:t>
      </w:r>
      <w:proofErr w:type="spellEnd"/>
      <w:r w:rsidRPr="00882AE2">
        <w:rPr>
          <w:rFonts w:asciiTheme="majorHAnsi" w:eastAsia="Times New Roman" w:hAnsiTheme="majorHAnsi" w:cs="Times New Roman"/>
          <w:sz w:val="24"/>
          <w:szCs w:val="24"/>
          <w:lang w:eastAsia="en-IN"/>
        </w:rPr>
        <w:t xml:space="preserve">. In the return of income filed for the year under consideration, capital gain arising from sale of plot No. 257 was computed and offered by the assessee by taking into account the consideration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The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was</w:t>
      </w:r>
      <w:proofErr w:type="gramEnd"/>
      <w:r w:rsidRPr="00882AE2">
        <w:rPr>
          <w:rFonts w:asciiTheme="majorHAnsi" w:eastAsia="Times New Roman" w:hAnsiTheme="majorHAnsi" w:cs="Times New Roman"/>
          <w:sz w:val="24"/>
          <w:szCs w:val="24"/>
          <w:lang w:eastAsia="en-IN"/>
        </w:rPr>
        <w:t xml:space="preserve"> not taken into account while offering the capital gain. During the course of assessment proceedings, the assessee was called upon by the AO to explain why the market value of the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should</w:t>
      </w:r>
      <w:proofErr w:type="gramEnd"/>
      <w:r w:rsidRPr="00882AE2">
        <w:rPr>
          <w:rFonts w:asciiTheme="majorHAnsi" w:eastAsia="Times New Roman" w:hAnsiTheme="majorHAnsi" w:cs="Times New Roman"/>
          <w:sz w:val="24"/>
          <w:szCs w:val="24"/>
          <w:lang w:eastAsia="en-IN"/>
        </w:rPr>
        <w:t xml:space="preserve"> not be taken as part of consideration for sale of plot. In reply, it was submitted on behalf of the assessee that before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could start the development/construction work, the entire property comprising of plot No. 256 and 257 was sold to a third party M/s Financial Technologies Ltd. by a tripartite conveyance deed executed on 5th July, 2007 for a total consideration of Rs.29.11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It was submitted that the assessee thus never received the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and whatever was received as additional consideration of Rs.13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(29.11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- 16.11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was offered to tax in assessment year 2008-09 as capital gain arising as a result of conveyance deed executed on 5th July, 2007. It was contended that the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thus</w:t>
      </w:r>
      <w:proofErr w:type="gramEnd"/>
      <w:r w:rsidRPr="00882AE2">
        <w:rPr>
          <w:rFonts w:asciiTheme="majorHAnsi" w:eastAsia="Times New Roman" w:hAnsiTheme="majorHAnsi" w:cs="Times New Roman"/>
          <w:sz w:val="24"/>
          <w:szCs w:val="24"/>
          <w:lang w:eastAsia="en-IN"/>
        </w:rPr>
        <w:t xml:space="preserve"> could not be considered as part of sale consideration for computing the capital gain chargeable to tax in assessment </w:t>
      </w:r>
      <w:r w:rsidRPr="00882AE2">
        <w:rPr>
          <w:rFonts w:asciiTheme="majorHAnsi" w:eastAsia="Times New Roman" w:hAnsiTheme="majorHAnsi" w:cs="Times New Roman"/>
          <w:sz w:val="24"/>
          <w:szCs w:val="24"/>
          <w:lang w:eastAsia="en-IN"/>
        </w:rPr>
        <w:lastRenderedPageBreak/>
        <w:t>year 2007-08 as the same was not actually received by the assessee.</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4. The explanation offered by the assessee on this issue was not found acceptable by the AO. According to him, as a result of development agreement entered into by the assessee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there was a transfer of property within the meaning of section 2(47)(v) of the Income-tax Act read with section 53A of the Transfer of Property Act in the year under consideration and the capital gain arising from the said transfer chargeable to tax was liable to be computed taking into consideration the sum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as well as the market value of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For this conclusion, he relied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Bombay High Court in the case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xml:space="preserve">. </w:t>
      </w:r>
      <w:proofErr w:type="spellStart"/>
      <w:proofErr w:type="gram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xml:space="preserve"> of Bombay v. CIT [2003] </w:t>
      </w:r>
      <w:hyperlink r:id="rId10" w:history="1">
        <w:r w:rsidRPr="00882AE2">
          <w:rPr>
            <w:rFonts w:asciiTheme="majorHAnsi" w:eastAsia="Times New Roman" w:hAnsiTheme="majorHAnsi" w:cs="Times New Roman"/>
            <w:sz w:val="24"/>
            <w:szCs w:val="24"/>
            <w:lang w:eastAsia="en-IN"/>
          </w:rPr>
          <w:t>260 ITR 491</w:t>
        </w:r>
      </w:hyperlink>
      <w:r w:rsidRPr="00882AE2">
        <w:rPr>
          <w:rFonts w:asciiTheme="majorHAnsi" w:eastAsia="Times New Roman" w:hAnsiTheme="majorHAnsi" w:cs="Times New Roman"/>
          <w:sz w:val="24"/>
          <w:szCs w:val="24"/>
          <w:lang w:eastAsia="en-IN"/>
        </w:rPr>
        <w:t>/ </w:t>
      </w:r>
      <w:hyperlink r:id="rId11" w:history="1">
        <w:r w:rsidRPr="00882AE2">
          <w:rPr>
            <w:rFonts w:asciiTheme="majorHAnsi" w:eastAsia="Times New Roman" w:hAnsiTheme="majorHAnsi" w:cs="Times New Roman"/>
            <w:sz w:val="24"/>
            <w:szCs w:val="24"/>
            <w:lang w:eastAsia="en-IN"/>
          </w:rPr>
          <w:t>129 Taxman 497</w:t>
        </w:r>
      </w:hyperlink>
      <w:r w:rsidRPr="00882AE2">
        <w:rPr>
          <w:rFonts w:asciiTheme="majorHAnsi" w:eastAsia="Times New Roman" w:hAnsiTheme="majorHAnsi" w:cs="Times New Roman"/>
          <w:sz w:val="24"/>
          <w:szCs w:val="24"/>
          <w:lang w:eastAsia="en-IN"/>
        </w:rPr>
        <w:t> .</w:t>
      </w:r>
      <w:proofErr w:type="gramEnd"/>
      <w:r w:rsidRPr="00882AE2">
        <w:rPr>
          <w:rFonts w:asciiTheme="majorHAnsi" w:eastAsia="Times New Roman" w:hAnsiTheme="majorHAnsi" w:cs="Times New Roman"/>
          <w:sz w:val="24"/>
          <w:szCs w:val="24"/>
          <w:lang w:eastAsia="en-IN"/>
        </w:rPr>
        <w:t xml:space="preserve"> Accordingly, the market value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of commercial area was worked out by him at Rs.9,51,50,500/- as per the prevailing rate given in the ready reckoner and addition to that extent was made by him to the total income of the assessee on account of long term capital gain.</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5. The addition made by the AO of Rs.9.51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on account of capital gain was challenged by the assessee in an appeal filed before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It was submitted on behalf of the assessee company before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that the consideration against development rights of plot No. 257 agreed to be paid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was a sum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and the construction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free</w:t>
      </w:r>
      <w:proofErr w:type="gramEnd"/>
      <w:r w:rsidRPr="00882AE2">
        <w:rPr>
          <w:rFonts w:asciiTheme="majorHAnsi" w:eastAsia="Times New Roman" w:hAnsiTheme="majorHAnsi" w:cs="Times New Roman"/>
          <w:sz w:val="24"/>
          <w:szCs w:val="24"/>
          <w:lang w:eastAsia="en-IN"/>
        </w:rPr>
        <w:t xml:space="preserve"> of cost. </w:t>
      </w:r>
      <w:r w:rsidRPr="00882AE2">
        <w:rPr>
          <w:rFonts w:asciiTheme="majorHAnsi" w:eastAsia="Times New Roman" w:hAnsiTheme="majorHAnsi" w:cs="Times New Roman"/>
          <w:sz w:val="24"/>
          <w:szCs w:val="24"/>
          <w:lang w:eastAsia="en-IN"/>
        </w:rPr>
        <w:lastRenderedPageBreak/>
        <w:t xml:space="preserve">It was submitted that although the sum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was duly paid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to the assessee, the construction to be done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on plot No. 256 belonging to the assessee never happened. It was contended that the consideration to that extent thus was neither received nor accrued to the assessee and there was no question of taking into account the said consideration not received by the assessee for the purpose of computing capital gain. It was submitted that immediately within the period of 13 months from the development agreement entered into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 tripartite conveyance deed was executed on 5th July, 2007 between the assessee,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and M/s Financial Technologies Ltd. whereby entire property comprising of plot Nos. 256 and 257 was sold and conveyed to M/s Financial Technologies Ltd. for total consideration of Rs.29.11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It was contended that the additional consideration received by the assessee in the monetary terms as a result of the said transfer of property was duly offered by the assessee to tax in assessment year 2008-09. It was contended that the net effect of this subsequent conveyance deed executed on 5th July, 2007 is that the earlier development agreement dated 16th June. 2006 stood modified and the consideration in the form of free of cost construction of 18,000 </w:t>
      </w:r>
      <w:proofErr w:type="spellStart"/>
      <w:r w:rsidRPr="00882AE2">
        <w:rPr>
          <w:rFonts w:asciiTheme="majorHAnsi" w:eastAsia="Times New Roman" w:hAnsiTheme="majorHAnsi" w:cs="Times New Roman"/>
          <w:sz w:val="24"/>
          <w:szCs w:val="24"/>
          <w:lang w:eastAsia="en-IN"/>
        </w:rPr>
        <w:t>sq</w:t>
      </w:r>
      <w:proofErr w:type="spellEnd"/>
      <w:proofErr w:type="gramStart"/>
      <w:r w:rsidRPr="00882AE2">
        <w:rPr>
          <w:rFonts w:asciiTheme="majorHAnsi" w:eastAsia="Times New Roman" w:hAnsiTheme="majorHAnsi" w:cs="Times New Roman"/>
          <w:sz w:val="24"/>
          <w:szCs w:val="24"/>
          <w:lang w:eastAsia="en-IN"/>
        </w:rPr>
        <w:t>..ft</w:t>
      </w:r>
      <w:proofErr w:type="gramEnd"/>
      <w:r w:rsidRPr="00882AE2">
        <w:rPr>
          <w:rFonts w:asciiTheme="majorHAnsi" w:eastAsia="Times New Roman" w:hAnsiTheme="majorHAnsi" w:cs="Times New Roman"/>
          <w:sz w:val="24"/>
          <w:szCs w:val="24"/>
          <w:lang w:eastAsia="en-IN"/>
        </w:rPr>
        <w:t xml:space="preserve">. was cancelled. It was contended that no income on account of the said consideration thus accrued or arose to the assessee in real terms. It was also contended that the entire consideration finally received </w:t>
      </w:r>
      <w:r w:rsidRPr="00882AE2">
        <w:rPr>
          <w:rFonts w:asciiTheme="majorHAnsi" w:eastAsia="Times New Roman" w:hAnsiTheme="majorHAnsi" w:cs="Times New Roman"/>
          <w:sz w:val="24"/>
          <w:szCs w:val="24"/>
          <w:lang w:eastAsia="en-IN"/>
        </w:rPr>
        <w:lastRenderedPageBreak/>
        <w:t xml:space="preserve">by the assessee on transfer of its property i.e. plot No. 256 and 257, in any case, was offered to tax in assessment years 2007-08 and 2008-09 resulting no loss to the Revenue on this count. Without prejudice to this main contention and as an alternative, it was also submitted on behalf of the assessee that the market value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constructed</w:t>
      </w:r>
      <w:proofErr w:type="gramEnd"/>
      <w:r w:rsidRPr="00882AE2">
        <w:rPr>
          <w:rFonts w:asciiTheme="majorHAnsi" w:eastAsia="Times New Roman" w:hAnsiTheme="majorHAnsi" w:cs="Times New Roman"/>
          <w:sz w:val="24"/>
          <w:szCs w:val="24"/>
          <w:lang w:eastAsia="en-IN"/>
        </w:rPr>
        <w:t xml:space="preserve"> area adopted by the AO at Rs.9.51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on the basis of ready reckoner rates was not correct as the construction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was</w:t>
      </w:r>
      <w:proofErr w:type="gramEnd"/>
      <w:r w:rsidRPr="00882AE2">
        <w:rPr>
          <w:rFonts w:asciiTheme="majorHAnsi" w:eastAsia="Times New Roman" w:hAnsiTheme="majorHAnsi" w:cs="Times New Roman"/>
          <w:sz w:val="24"/>
          <w:szCs w:val="24"/>
          <w:lang w:eastAsia="en-IN"/>
        </w:rPr>
        <w:t xml:space="preserve"> to be made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on plot No. 256 which was belonging to the assessee. It was contended that the role of the developer in so far as the construction of this area is concerned, was that of a mere contractor who had agreed to construct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free</w:t>
      </w:r>
      <w:proofErr w:type="gramEnd"/>
      <w:r w:rsidRPr="00882AE2">
        <w:rPr>
          <w:rFonts w:asciiTheme="majorHAnsi" w:eastAsia="Times New Roman" w:hAnsiTheme="majorHAnsi" w:cs="Times New Roman"/>
          <w:sz w:val="24"/>
          <w:szCs w:val="24"/>
          <w:lang w:eastAsia="en-IN"/>
        </w:rPr>
        <w:t xml:space="preserve"> of cost on the plot of land already owned by the assessee. It was contended that the value of this benefit thus at best could be construction cost that was to be incurred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which he had agreed to bear. It was contended that the said benefit in the form of construction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free</w:t>
      </w:r>
      <w:proofErr w:type="gramEnd"/>
      <w:r w:rsidRPr="00882AE2">
        <w:rPr>
          <w:rFonts w:asciiTheme="majorHAnsi" w:eastAsia="Times New Roman" w:hAnsiTheme="majorHAnsi" w:cs="Times New Roman"/>
          <w:sz w:val="24"/>
          <w:szCs w:val="24"/>
          <w:lang w:eastAsia="en-IN"/>
        </w:rPr>
        <w:t xml:space="preserve"> of cost, however, was never received by the assessee and the same, therefore, could not be subjected to tax in the hands of the assessee. In support of this contention, reference was made by the assessee to the doctrine of real income. It was contended that the position in this regard is well settled that subsequent events, developments or modifications in the terms of an agreement can be taken into consideration to determine the accrual and taxability of income. In support of this contention, reliance was placed on behalf of </w:t>
      </w:r>
      <w:r w:rsidRPr="00882AE2">
        <w:rPr>
          <w:rFonts w:asciiTheme="majorHAnsi" w:eastAsia="Times New Roman" w:hAnsiTheme="majorHAnsi" w:cs="Times New Roman"/>
          <w:sz w:val="24"/>
          <w:szCs w:val="24"/>
          <w:lang w:eastAsia="en-IN"/>
        </w:rPr>
        <w:lastRenderedPageBreak/>
        <w:t xml:space="preserve">the assessee, inter alia, on the following judicial </w:t>
      </w:r>
      <w:proofErr w:type="gramStart"/>
      <w:r w:rsidRPr="00882AE2">
        <w:rPr>
          <w:rFonts w:asciiTheme="majorHAnsi" w:eastAsia="Times New Roman" w:hAnsiTheme="majorHAnsi" w:cs="Times New Roman"/>
          <w:sz w:val="24"/>
          <w:szCs w:val="24"/>
          <w:lang w:eastAsia="en-IN"/>
        </w:rPr>
        <w:t>pronouncements :</w:t>
      </w:r>
      <w:proofErr w:type="gramEnd"/>
    </w:p>
    <w:p w:rsidR="00E013C6" w:rsidRPr="00882AE2" w:rsidRDefault="00E013C6" w:rsidP="006E1A44">
      <w:pPr>
        <w:shd w:val="clear" w:color="auto" w:fill="FFFFFF"/>
        <w:spacing w:after="0" w:line="240" w:lineRule="auto"/>
        <w:ind w:left="567" w:hanging="340"/>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 </w:t>
      </w:r>
      <w:proofErr w:type="spellStart"/>
      <w:r w:rsidRPr="00882AE2">
        <w:rPr>
          <w:rFonts w:asciiTheme="majorHAnsi" w:eastAsia="Times New Roman" w:hAnsiTheme="majorHAnsi" w:cs="Times New Roman"/>
          <w:sz w:val="24"/>
          <w:szCs w:val="24"/>
          <w:lang w:eastAsia="en-IN"/>
        </w:rPr>
        <w:t>Kalpataru</w:t>
      </w:r>
      <w:proofErr w:type="spellEnd"/>
      <w:r w:rsidRPr="00882AE2">
        <w:rPr>
          <w:rFonts w:asciiTheme="majorHAnsi" w:eastAsia="Times New Roman" w:hAnsiTheme="majorHAnsi" w:cs="Times New Roman"/>
          <w:sz w:val="24"/>
          <w:szCs w:val="24"/>
          <w:lang w:eastAsia="en-IN"/>
        </w:rPr>
        <w:t xml:space="preserve"> Construction Overseas (P.) Ltd. v. Dy. CIT [2007] </w:t>
      </w:r>
      <w:hyperlink r:id="rId12" w:history="1">
        <w:proofErr w:type="gramStart"/>
        <w:r w:rsidRPr="00882AE2">
          <w:rPr>
            <w:rFonts w:asciiTheme="majorHAnsi" w:eastAsia="Times New Roman" w:hAnsiTheme="majorHAnsi" w:cs="Times New Roman"/>
            <w:sz w:val="24"/>
            <w:szCs w:val="24"/>
            <w:lang w:eastAsia="en-IN"/>
          </w:rPr>
          <w:t>13 SOT</w:t>
        </w:r>
        <w:proofErr w:type="gramEnd"/>
        <w:r w:rsidRPr="00882AE2">
          <w:rPr>
            <w:rFonts w:asciiTheme="majorHAnsi" w:eastAsia="Times New Roman" w:hAnsiTheme="majorHAnsi" w:cs="Times New Roman"/>
            <w:sz w:val="24"/>
            <w:szCs w:val="24"/>
            <w:lang w:eastAsia="en-IN"/>
          </w:rPr>
          <w:t xml:space="preserve"> 194</w:t>
        </w:r>
      </w:hyperlink>
      <w:r w:rsidRPr="00882AE2">
        <w:rPr>
          <w:rFonts w:asciiTheme="majorHAnsi" w:eastAsia="Times New Roman" w:hAnsiTheme="majorHAnsi" w:cs="Times New Roman"/>
          <w:sz w:val="24"/>
          <w:szCs w:val="24"/>
          <w:lang w:eastAsia="en-IN"/>
        </w:rPr>
        <w:t> (Mum.).</w:t>
      </w:r>
    </w:p>
    <w:p w:rsidR="00E013C6" w:rsidRPr="00882AE2" w:rsidRDefault="00E013C6" w:rsidP="006E1A44">
      <w:pPr>
        <w:shd w:val="clear" w:color="auto" w:fill="FFFFFF"/>
        <w:spacing w:after="0" w:line="240" w:lineRule="auto"/>
        <w:ind w:left="567" w:hanging="340"/>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(ii) CIT v. </w:t>
      </w:r>
      <w:proofErr w:type="spellStart"/>
      <w:r w:rsidRPr="00882AE2">
        <w:rPr>
          <w:rFonts w:asciiTheme="majorHAnsi" w:eastAsia="Times New Roman" w:hAnsiTheme="majorHAnsi" w:cs="Times New Roman"/>
          <w:sz w:val="24"/>
          <w:szCs w:val="24"/>
          <w:lang w:eastAsia="en-IN"/>
        </w:rPr>
        <w:t>Shoorji</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Vallabhdas</w:t>
      </w:r>
      <w:proofErr w:type="spellEnd"/>
      <w:r w:rsidRPr="00882AE2">
        <w:rPr>
          <w:rFonts w:asciiTheme="majorHAnsi" w:eastAsia="Times New Roman" w:hAnsiTheme="majorHAnsi" w:cs="Times New Roman"/>
          <w:sz w:val="24"/>
          <w:szCs w:val="24"/>
          <w:lang w:eastAsia="en-IN"/>
        </w:rPr>
        <w:t xml:space="preserve"> &amp; Co. [1962] </w:t>
      </w:r>
      <w:hyperlink r:id="rId13" w:history="1">
        <w:r w:rsidRPr="00882AE2">
          <w:rPr>
            <w:rFonts w:asciiTheme="majorHAnsi" w:eastAsia="Times New Roman" w:hAnsiTheme="majorHAnsi" w:cs="Times New Roman"/>
            <w:sz w:val="24"/>
            <w:szCs w:val="24"/>
            <w:lang w:eastAsia="en-IN"/>
          </w:rPr>
          <w:t>46 ITR 144</w:t>
        </w:r>
      </w:hyperlink>
      <w:r w:rsidRPr="00882AE2">
        <w:rPr>
          <w:rFonts w:asciiTheme="majorHAnsi" w:eastAsia="Times New Roman" w:hAnsiTheme="majorHAnsi" w:cs="Times New Roman"/>
          <w:sz w:val="24"/>
          <w:szCs w:val="24"/>
          <w:lang w:eastAsia="en-IN"/>
        </w:rPr>
        <w:t> (SC)</w:t>
      </w:r>
    </w:p>
    <w:p w:rsidR="00E013C6" w:rsidRPr="00882AE2" w:rsidRDefault="00E013C6" w:rsidP="006E1A44">
      <w:pPr>
        <w:shd w:val="clear" w:color="auto" w:fill="FFFFFF"/>
        <w:spacing w:after="0" w:line="240" w:lineRule="auto"/>
        <w:ind w:left="567" w:hanging="397"/>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(iii) CIT v. Birla Gwalior (P.) Ltd. [1973] </w:t>
      </w:r>
      <w:hyperlink r:id="rId14" w:history="1">
        <w:r w:rsidRPr="00882AE2">
          <w:rPr>
            <w:rFonts w:asciiTheme="majorHAnsi" w:eastAsia="Times New Roman" w:hAnsiTheme="majorHAnsi" w:cs="Times New Roman"/>
            <w:sz w:val="24"/>
            <w:szCs w:val="24"/>
            <w:lang w:eastAsia="en-IN"/>
          </w:rPr>
          <w:t>89 ITR 266</w:t>
        </w:r>
      </w:hyperlink>
      <w:r w:rsidRPr="00882AE2">
        <w:rPr>
          <w:rFonts w:asciiTheme="majorHAnsi" w:eastAsia="Times New Roman" w:hAnsiTheme="majorHAnsi" w:cs="Times New Roman"/>
          <w:sz w:val="24"/>
          <w:szCs w:val="24"/>
          <w:lang w:eastAsia="en-IN"/>
        </w:rPr>
        <w:t> (SC)</w:t>
      </w:r>
    </w:p>
    <w:p w:rsidR="00E013C6" w:rsidRPr="00882AE2" w:rsidRDefault="00E013C6" w:rsidP="006E1A44">
      <w:pPr>
        <w:shd w:val="clear" w:color="auto" w:fill="FFFFFF"/>
        <w:spacing w:after="0" w:line="240" w:lineRule="auto"/>
        <w:ind w:left="567" w:hanging="397"/>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(iv) </w:t>
      </w:r>
      <w:proofErr w:type="spellStart"/>
      <w:r w:rsidRPr="00882AE2">
        <w:rPr>
          <w:rFonts w:asciiTheme="majorHAnsi" w:eastAsia="Times New Roman" w:hAnsiTheme="majorHAnsi" w:cs="Times New Roman"/>
          <w:sz w:val="24"/>
          <w:szCs w:val="24"/>
          <w:lang w:eastAsia="en-IN"/>
        </w:rPr>
        <w:t>Godhra</w:t>
      </w:r>
      <w:proofErr w:type="spellEnd"/>
      <w:r w:rsidRPr="00882AE2">
        <w:rPr>
          <w:rFonts w:asciiTheme="majorHAnsi" w:eastAsia="Times New Roman" w:hAnsiTheme="majorHAnsi" w:cs="Times New Roman"/>
          <w:sz w:val="24"/>
          <w:szCs w:val="24"/>
          <w:lang w:eastAsia="en-IN"/>
        </w:rPr>
        <w:t xml:space="preserve"> Electricity Co. Ltd. v. CIT [1997] </w:t>
      </w:r>
      <w:hyperlink r:id="rId15" w:history="1">
        <w:r w:rsidRPr="00882AE2">
          <w:rPr>
            <w:rFonts w:asciiTheme="majorHAnsi" w:eastAsia="Times New Roman" w:hAnsiTheme="majorHAnsi" w:cs="Times New Roman"/>
            <w:sz w:val="24"/>
            <w:szCs w:val="24"/>
            <w:lang w:eastAsia="en-IN"/>
          </w:rPr>
          <w:t>225 ITR 746</w:t>
        </w:r>
      </w:hyperlink>
      <w:r w:rsidRPr="00882AE2">
        <w:rPr>
          <w:rFonts w:asciiTheme="majorHAnsi" w:eastAsia="Times New Roman" w:hAnsiTheme="majorHAnsi" w:cs="Times New Roman"/>
          <w:sz w:val="24"/>
          <w:szCs w:val="24"/>
          <w:lang w:eastAsia="en-IN"/>
        </w:rPr>
        <w:t> / </w:t>
      </w:r>
      <w:hyperlink r:id="rId16" w:history="1">
        <w:r w:rsidRPr="00882AE2">
          <w:rPr>
            <w:rFonts w:asciiTheme="majorHAnsi" w:eastAsia="Times New Roman" w:hAnsiTheme="majorHAnsi" w:cs="Times New Roman"/>
            <w:sz w:val="24"/>
            <w:szCs w:val="24"/>
            <w:lang w:eastAsia="en-IN"/>
          </w:rPr>
          <w:t>91 Taxman 351</w:t>
        </w:r>
      </w:hyperlink>
      <w:r w:rsidRPr="00882AE2">
        <w:rPr>
          <w:rFonts w:asciiTheme="majorHAnsi" w:eastAsia="Times New Roman" w:hAnsiTheme="majorHAnsi" w:cs="Times New Roman"/>
          <w:sz w:val="24"/>
          <w:szCs w:val="24"/>
          <w:lang w:eastAsia="en-IN"/>
        </w:rPr>
        <w:t> (SC).</w:t>
      </w:r>
    </w:p>
    <w:p w:rsidR="00E013C6" w:rsidRPr="00882AE2" w:rsidRDefault="00E013C6" w:rsidP="006E1A44">
      <w:pPr>
        <w:shd w:val="clear" w:color="auto" w:fill="FFFFFF"/>
        <w:spacing w:after="0" w:line="240" w:lineRule="auto"/>
        <w:ind w:left="567" w:hanging="340"/>
        <w:rPr>
          <w:rFonts w:asciiTheme="majorHAnsi" w:eastAsia="Times New Roman" w:hAnsiTheme="majorHAnsi" w:cs="Times New Roman"/>
          <w:sz w:val="24"/>
          <w:szCs w:val="24"/>
          <w:lang w:eastAsia="en-IN"/>
        </w:rPr>
      </w:pPr>
      <w:proofErr w:type="gramStart"/>
      <w:r w:rsidRPr="00882AE2">
        <w:rPr>
          <w:rFonts w:asciiTheme="majorHAnsi" w:eastAsia="Times New Roman" w:hAnsiTheme="majorHAnsi" w:cs="Times New Roman"/>
          <w:sz w:val="24"/>
          <w:szCs w:val="24"/>
          <w:lang w:eastAsia="en-IN"/>
        </w:rPr>
        <w:t xml:space="preserve">(v) J.H. </w:t>
      </w:r>
      <w:proofErr w:type="spellStart"/>
      <w:r w:rsidRPr="00882AE2">
        <w:rPr>
          <w:rFonts w:asciiTheme="majorHAnsi" w:eastAsia="Times New Roman" w:hAnsiTheme="majorHAnsi" w:cs="Times New Roman"/>
          <w:sz w:val="24"/>
          <w:szCs w:val="24"/>
          <w:lang w:eastAsia="en-IN"/>
        </w:rPr>
        <w:t>Doshi</w:t>
      </w:r>
      <w:proofErr w:type="spellEnd"/>
      <w:r w:rsidRPr="00882AE2">
        <w:rPr>
          <w:rFonts w:asciiTheme="majorHAnsi" w:eastAsia="Times New Roman" w:hAnsiTheme="majorHAnsi" w:cs="Times New Roman"/>
          <w:sz w:val="24"/>
          <w:szCs w:val="24"/>
          <w:lang w:eastAsia="en-IN"/>
        </w:rPr>
        <w:t> v. CIT [1995] </w:t>
      </w:r>
      <w:hyperlink r:id="rId17" w:history="1">
        <w:r w:rsidRPr="00882AE2">
          <w:rPr>
            <w:rFonts w:asciiTheme="majorHAnsi" w:eastAsia="Times New Roman" w:hAnsiTheme="majorHAnsi" w:cs="Times New Roman"/>
            <w:sz w:val="24"/>
            <w:szCs w:val="24"/>
            <w:lang w:eastAsia="en-IN"/>
          </w:rPr>
          <w:t>212 ITR 211</w:t>
        </w:r>
      </w:hyperlink>
      <w:r w:rsidRPr="00882AE2">
        <w:rPr>
          <w:rFonts w:asciiTheme="majorHAnsi" w:eastAsia="Times New Roman" w:hAnsiTheme="majorHAnsi" w:cs="Times New Roman"/>
          <w:sz w:val="24"/>
          <w:szCs w:val="24"/>
          <w:lang w:eastAsia="en-IN"/>
        </w:rPr>
        <w:t>/ </w:t>
      </w:r>
      <w:hyperlink r:id="rId18" w:history="1">
        <w:r w:rsidRPr="00882AE2">
          <w:rPr>
            <w:rFonts w:asciiTheme="majorHAnsi" w:eastAsia="Times New Roman" w:hAnsiTheme="majorHAnsi" w:cs="Times New Roman"/>
            <w:sz w:val="24"/>
            <w:szCs w:val="24"/>
            <w:lang w:eastAsia="en-IN"/>
          </w:rPr>
          <w:t>79 Taxman 392</w:t>
        </w:r>
      </w:hyperlink>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Bom</w:t>
      </w:r>
      <w:proofErr w:type="spellEnd"/>
      <w:r w:rsidRPr="00882AE2">
        <w:rPr>
          <w:rFonts w:asciiTheme="majorHAnsi" w:eastAsia="Times New Roman" w:hAnsiTheme="majorHAnsi" w:cs="Times New Roman"/>
          <w:sz w:val="24"/>
          <w:szCs w:val="24"/>
          <w:lang w:eastAsia="en-IN"/>
        </w:rPr>
        <w:t>.).</w:t>
      </w:r>
      <w:proofErr w:type="gramEnd"/>
    </w:p>
    <w:p w:rsidR="00E013C6" w:rsidRPr="00882AE2" w:rsidRDefault="00E013C6" w:rsidP="006E1A44">
      <w:pPr>
        <w:shd w:val="clear" w:color="auto" w:fill="FFFFFF"/>
        <w:spacing w:after="0" w:line="240" w:lineRule="auto"/>
        <w:ind w:left="567" w:hanging="397"/>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(vi) CIT v. </w:t>
      </w:r>
      <w:proofErr w:type="spellStart"/>
      <w:r w:rsidRPr="00882AE2">
        <w:rPr>
          <w:rFonts w:asciiTheme="majorHAnsi" w:eastAsia="Times New Roman" w:hAnsiTheme="majorHAnsi" w:cs="Times New Roman"/>
          <w:sz w:val="24"/>
          <w:szCs w:val="24"/>
          <w:lang w:eastAsia="en-IN"/>
        </w:rPr>
        <w:t>Shivsagar</w:t>
      </w:r>
      <w:proofErr w:type="spellEnd"/>
      <w:r w:rsidRPr="00882AE2">
        <w:rPr>
          <w:rFonts w:asciiTheme="majorHAnsi" w:eastAsia="Times New Roman" w:hAnsiTheme="majorHAnsi" w:cs="Times New Roman"/>
          <w:sz w:val="24"/>
          <w:szCs w:val="24"/>
          <w:lang w:eastAsia="en-IN"/>
        </w:rPr>
        <w:t xml:space="preserve"> Estates (AOP) [1993] </w:t>
      </w:r>
      <w:hyperlink r:id="rId19" w:history="1">
        <w:r w:rsidRPr="00882AE2">
          <w:rPr>
            <w:rFonts w:asciiTheme="majorHAnsi" w:eastAsia="Times New Roman" w:hAnsiTheme="majorHAnsi" w:cs="Times New Roman"/>
            <w:sz w:val="24"/>
            <w:szCs w:val="24"/>
            <w:lang w:eastAsia="en-IN"/>
          </w:rPr>
          <w:t>204 ITR 1</w:t>
        </w:r>
      </w:hyperlink>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Bom</w:t>
      </w:r>
      <w:proofErr w:type="spellEnd"/>
      <w:r w:rsidRPr="00882AE2">
        <w:rPr>
          <w:rFonts w:asciiTheme="majorHAnsi" w:eastAsia="Times New Roman" w:hAnsiTheme="majorHAnsi" w:cs="Times New Roman"/>
          <w:sz w:val="24"/>
          <w:szCs w:val="24"/>
          <w:lang w:eastAsia="en-IN"/>
        </w:rPr>
        <w:t>.).</w:t>
      </w:r>
    </w:p>
    <w:p w:rsidR="004F6A6C" w:rsidRPr="00882AE2" w:rsidRDefault="004F6A6C"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6. After considering the submissions made by the assessee as well as the material available on record,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did not find merit in the stand taken by the assessee that consideration in the form of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to</w:t>
      </w:r>
      <w:proofErr w:type="gramEnd"/>
      <w:r w:rsidRPr="00882AE2">
        <w:rPr>
          <w:rFonts w:asciiTheme="majorHAnsi" w:eastAsia="Times New Roman" w:hAnsiTheme="majorHAnsi" w:cs="Times New Roman"/>
          <w:sz w:val="24"/>
          <w:szCs w:val="24"/>
          <w:lang w:eastAsia="en-IN"/>
        </w:rPr>
        <w:t xml:space="preserve"> be given to the assessee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as per the development agreement had not accrued in the year under consideration. Relying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Bombay High Court in the case of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xml:space="preserve"> of Bombay (supra), he held that there was </w:t>
      </w:r>
      <w:proofErr w:type="gramStart"/>
      <w:r w:rsidRPr="00882AE2">
        <w:rPr>
          <w:rFonts w:asciiTheme="majorHAnsi" w:eastAsia="Times New Roman" w:hAnsiTheme="majorHAnsi" w:cs="Times New Roman"/>
          <w:sz w:val="24"/>
          <w:szCs w:val="24"/>
          <w:lang w:eastAsia="en-IN"/>
        </w:rPr>
        <w:t>a transfer of property i.e. plot</w:t>
      </w:r>
      <w:proofErr w:type="gramEnd"/>
      <w:r w:rsidRPr="00882AE2">
        <w:rPr>
          <w:rFonts w:asciiTheme="majorHAnsi" w:eastAsia="Times New Roman" w:hAnsiTheme="majorHAnsi" w:cs="Times New Roman"/>
          <w:sz w:val="24"/>
          <w:szCs w:val="24"/>
          <w:lang w:eastAsia="en-IN"/>
        </w:rPr>
        <w:t xml:space="preserve"> No. 257 as a result of development agreement entered into by the assessee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giving rise to capital gain. He held that the said development agreement was not only executed but also acted upon by both the parties and, therefore, the consideration as agreed in terms of the said development </w:t>
      </w:r>
      <w:r w:rsidRPr="00882AE2">
        <w:rPr>
          <w:rFonts w:asciiTheme="majorHAnsi" w:eastAsia="Times New Roman" w:hAnsiTheme="majorHAnsi" w:cs="Times New Roman"/>
          <w:sz w:val="24"/>
          <w:szCs w:val="24"/>
          <w:lang w:eastAsia="en-IN"/>
        </w:rPr>
        <w:lastRenderedPageBreak/>
        <w:t xml:space="preserve">agreement was chargeable to tax in the year under consideration in which there was a transfer of property. He held that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to</w:t>
      </w:r>
      <w:proofErr w:type="gramEnd"/>
      <w:r w:rsidRPr="00882AE2">
        <w:rPr>
          <w:rFonts w:asciiTheme="majorHAnsi" w:eastAsia="Times New Roman" w:hAnsiTheme="majorHAnsi" w:cs="Times New Roman"/>
          <w:sz w:val="24"/>
          <w:szCs w:val="24"/>
          <w:lang w:eastAsia="en-IN"/>
        </w:rPr>
        <w:t xml:space="preserve"> be built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for the benefit of the assessee free of cost was integral part of the said consideration. He, however, agreed with the alternative plea of the assessee that only the cost of construction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should</w:t>
      </w:r>
      <w:proofErr w:type="gramEnd"/>
      <w:r w:rsidRPr="00882AE2">
        <w:rPr>
          <w:rFonts w:asciiTheme="majorHAnsi" w:eastAsia="Times New Roman" w:hAnsiTheme="majorHAnsi" w:cs="Times New Roman"/>
          <w:sz w:val="24"/>
          <w:szCs w:val="24"/>
          <w:lang w:eastAsia="en-IN"/>
        </w:rPr>
        <w:t xml:space="preserve"> be taken as consideration and not the market value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as</w:t>
      </w:r>
      <w:proofErr w:type="gramEnd"/>
      <w:r w:rsidRPr="00882AE2">
        <w:rPr>
          <w:rFonts w:asciiTheme="majorHAnsi" w:eastAsia="Times New Roman" w:hAnsiTheme="majorHAnsi" w:cs="Times New Roman"/>
          <w:sz w:val="24"/>
          <w:szCs w:val="24"/>
          <w:lang w:eastAsia="en-IN"/>
        </w:rPr>
        <w:t xml:space="preserve"> taken by the AO on the basis of ready reckoner rates meant for stamp duty purposes. Accordingly, relying on the report of the Government approved </w:t>
      </w:r>
      <w:proofErr w:type="spellStart"/>
      <w:r w:rsidRPr="00882AE2">
        <w:rPr>
          <w:rFonts w:asciiTheme="majorHAnsi" w:eastAsia="Times New Roman" w:hAnsiTheme="majorHAnsi" w:cs="Times New Roman"/>
          <w:sz w:val="24"/>
          <w:szCs w:val="24"/>
          <w:lang w:eastAsia="en-IN"/>
        </w:rPr>
        <w:t>valuer</w:t>
      </w:r>
      <w:proofErr w:type="spellEnd"/>
      <w:r w:rsidRPr="00882AE2">
        <w:rPr>
          <w:rFonts w:asciiTheme="majorHAnsi" w:eastAsia="Times New Roman" w:hAnsiTheme="majorHAnsi" w:cs="Times New Roman"/>
          <w:sz w:val="24"/>
          <w:szCs w:val="24"/>
          <w:lang w:eastAsia="en-IN"/>
        </w:rPr>
        <w:t xml:space="preserve">, he adopted the cost of construction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at</w:t>
      </w:r>
      <w:proofErr w:type="gramEnd"/>
      <w:r w:rsidRPr="00882AE2">
        <w:rPr>
          <w:rFonts w:asciiTheme="majorHAnsi" w:eastAsia="Times New Roman" w:hAnsiTheme="majorHAnsi" w:cs="Times New Roman"/>
          <w:sz w:val="24"/>
          <w:szCs w:val="24"/>
          <w:lang w:eastAsia="en-IN"/>
        </w:rPr>
        <w:t xml:space="preserve"> Rs.2,17,88,000/- and restricted the addition made by the AO on this issue to the income of the assessee to Rs.2,17,88,000/-.</w:t>
      </w:r>
    </w:p>
    <w:p w:rsidR="004F6A6C" w:rsidRPr="00882AE2" w:rsidRDefault="004F6A6C"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7. The learned counsel for the assessee submitted that the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as</w:t>
      </w:r>
      <w:proofErr w:type="gramEnd"/>
      <w:r w:rsidRPr="00882AE2">
        <w:rPr>
          <w:rFonts w:asciiTheme="majorHAnsi" w:eastAsia="Times New Roman" w:hAnsiTheme="majorHAnsi" w:cs="Times New Roman"/>
          <w:sz w:val="24"/>
          <w:szCs w:val="24"/>
          <w:lang w:eastAsia="en-IN"/>
        </w:rPr>
        <w:t xml:space="preserve"> agreed to be given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as per the development agreement was never received by the assessee as a result of subsequent events that took place. He contended that consideration to that extent thus did not accrue to the assessee as a result subsequent events culminating into tripartite conveyance deed executed in July, 2007. He contended that the said conveyance deed executed subsequently modified the consideration originally agreed and this modification has to be taken into account to ascertain the income accrued to the assessee on account of capital gain. In support of this contention, he relied on the </w:t>
      </w:r>
      <w:r w:rsidRPr="00882AE2">
        <w:rPr>
          <w:rFonts w:asciiTheme="majorHAnsi" w:eastAsia="Times New Roman" w:hAnsiTheme="majorHAnsi" w:cs="Times New Roman"/>
          <w:sz w:val="24"/>
          <w:szCs w:val="24"/>
          <w:lang w:eastAsia="en-IN"/>
        </w:rPr>
        <w:lastRenderedPageBreak/>
        <w:t xml:space="preserve">decision of the Tribunal in the case of Bio </w:t>
      </w:r>
      <w:proofErr w:type="spellStart"/>
      <w:r w:rsidRPr="00882AE2">
        <w:rPr>
          <w:rFonts w:asciiTheme="majorHAnsi" w:eastAsia="Times New Roman" w:hAnsiTheme="majorHAnsi" w:cs="Times New Roman"/>
          <w:sz w:val="24"/>
          <w:szCs w:val="24"/>
          <w:lang w:eastAsia="en-IN"/>
        </w:rPr>
        <w:t>Pharma</w:t>
      </w:r>
      <w:proofErr w:type="spellEnd"/>
      <w:r w:rsidRPr="00882AE2">
        <w:rPr>
          <w:rFonts w:asciiTheme="majorHAnsi" w:eastAsia="Times New Roman" w:hAnsiTheme="majorHAnsi" w:cs="Times New Roman"/>
          <w:sz w:val="24"/>
          <w:szCs w:val="24"/>
          <w:lang w:eastAsia="en-IN"/>
        </w:rPr>
        <w:t> v. ITO [2006] </w:t>
      </w:r>
      <w:hyperlink r:id="rId20" w:history="1">
        <w:r w:rsidRPr="00882AE2">
          <w:rPr>
            <w:rFonts w:asciiTheme="majorHAnsi" w:eastAsia="Times New Roman" w:hAnsiTheme="majorHAnsi" w:cs="Times New Roman"/>
            <w:sz w:val="24"/>
            <w:szCs w:val="24"/>
            <w:lang w:eastAsia="en-IN"/>
          </w:rPr>
          <w:t>5 SOT 478</w:t>
        </w:r>
      </w:hyperlink>
      <w:r w:rsidRPr="00882AE2">
        <w:rPr>
          <w:rFonts w:asciiTheme="majorHAnsi" w:eastAsia="Times New Roman" w:hAnsiTheme="majorHAnsi" w:cs="Times New Roman"/>
          <w:sz w:val="24"/>
          <w:szCs w:val="24"/>
          <w:lang w:eastAsia="en-IN"/>
        </w:rPr>
        <w:t> (</w:t>
      </w:r>
      <w:proofErr w:type="spellStart"/>
      <w:r w:rsidRPr="00882AE2">
        <w:rPr>
          <w:rFonts w:asciiTheme="majorHAnsi" w:eastAsia="Times New Roman" w:hAnsiTheme="majorHAnsi" w:cs="Times New Roman"/>
          <w:sz w:val="24"/>
          <w:szCs w:val="24"/>
          <w:lang w:eastAsia="en-IN"/>
        </w:rPr>
        <w:t>Ahd</w:t>
      </w:r>
      <w:proofErr w:type="spellEnd"/>
      <w:r w:rsidRPr="00882AE2">
        <w:rPr>
          <w:rFonts w:asciiTheme="majorHAnsi" w:eastAsia="Times New Roman" w:hAnsiTheme="majorHAnsi" w:cs="Times New Roman"/>
          <w:sz w:val="24"/>
          <w:szCs w:val="24"/>
          <w:lang w:eastAsia="en-IN"/>
        </w:rPr>
        <w:t>) (page 40 of the paper book) and in the case of </w:t>
      </w:r>
      <w:proofErr w:type="spellStart"/>
      <w:r w:rsidRPr="00882AE2">
        <w:rPr>
          <w:rFonts w:asciiTheme="majorHAnsi" w:eastAsia="Times New Roman" w:hAnsiTheme="majorHAnsi" w:cs="Times New Roman"/>
          <w:sz w:val="24"/>
          <w:szCs w:val="24"/>
          <w:lang w:eastAsia="en-IN"/>
        </w:rPr>
        <w:t>Kalpataru</w:t>
      </w:r>
      <w:proofErr w:type="spellEnd"/>
      <w:r w:rsidRPr="00882AE2">
        <w:rPr>
          <w:rFonts w:asciiTheme="majorHAnsi" w:eastAsia="Times New Roman" w:hAnsiTheme="majorHAnsi" w:cs="Times New Roman"/>
          <w:sz w:val="24"/>
          <w:szCs w:val="24"/>
          <w:lang w:eastAsia="en-IN"/>
        </w:rPr>
        <w:t xml:space="preserve"> Construction Overseas (P.) </w:t>
      </w:r>
      <w:proofErr w:type="gramStart"/>
      <w:r w:rsidRPr="00882AE2">
        <w:rPr>
          <w:rFonts w:asciiTheme="majorHAnsi" w:eastAsia="Times New Roman" w:hAnsiTheme="majorHAnsi" w:cs="Times New Roman"/>
          <w:sz w:val="24"/>
          <w:szCs w:val="24"/>
          <w:lang w:eastAsia="en-IN"/>
        </w:rPr>
        <w:t>Ltd. (supra) (Page 135 of the paper – page 207 relevant.).</w:t>
      </w:r>
      <w:proofErr w:type="gramEnd"/>
      <w:r w:rsidRPr="00882AE2">
        <w:rPr>
          <w:rFonts w:asciiTheme="majorHAnsi" w:eastAsia="Times New Roman" w:hAnsiTheme="majorHAnsi" w:cs="Times New Roman"/>
          <w:sz w:val="24"/>
          <w:szCs w:val="24"/>
          <w:lang w:eastAsia="en-IN"/>
        </w:rPr>
        <w:t xml:space="preserve"> He also relied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xml:space="preserve"> Bombay High Court in the case of CIT v. Smt. </w:t>
      </w:r>
      <w:proofErr w:type="spellStart"/>
      <w:r w:rsidRPr="00882AE2">
        <w:rPr>
          <w:rFonts w:asciiTheme="majorHAnsi" w:eastAsia="Times New Roman" w:hAnsiTheme="majorHAnsi" w:cs="Times New Roman"/>
          <w:sz w:val="24"/>
          <w:szCs w:val="24"/>
          <w:lang w:eastAsia="en-IN"/>
        </w:rPr>
        <w:t>Shakuntala</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Kantilal</w:t>
      </w:r>
      <w:proofErr w:type="spellEnd"/>
      <w:r w:rsidRPr="00882AE2">
        <w:rPr>
          <w:rFonts w:asciiTheme="majorHAnsi" w:eastAsia="Times New Roman" w:hAnsiTheme="majorHAnsi" w:cs="Times New Roman"/>
          <w:sz w:val="24"/>
          <w:szCs w:val="24"/>
          <w:lang w:eastAsia="en-IN"/>
        </w:rPr>
        <w:t> [1991] </w:t>
      </w:r>
      <w:hyperlink r:id="rId21" w:history="1">
        <w:r w:rsidRPr="00882AE2">
          <w:rPr>
            <w:rFonts w:asciiTheme="majorHAnsi" w:eastAsia="Times New Roman" w:hAnsiTheme="majorHAnsi" w:cs="Times New Roman"/>
            <w:sz w:val="24"/>
            <w:szCs w:val="24"/>
            <w:lang w:eastAsia="en-IN"/>
          </w:rPr>
          <w:t>190 ITR 56</w:t>
        </w:r>
      </w:hyperlink>
      <w:r w:rsidRPr="00882AE2">
        <w:rPr>
          <w:rFonts w:asciiTheme="majorHAnsi" w:eastAsia="Times New Roman" w:hAnsiTheme="majorHAnsi" w:cs="Times New Roman"/>
          <w:sz w:val="24"/>
          <w:szCs w:val="24"/>
          <w:lang w:eastAsia="en-IN"/>
        </w:rPr>
        <w:t> / </w:t>
      </w:r>
      <w:hyperlink r:id="rId22" w:history="1">
        <w:r w:rsidRPr="00882AE2">
          <w:rPr>
            <w:rFonts w:asciiTheme="majorHAnsi" w:eastAsia="Times New Roman" w:hAnsiTheme="majorHAnsi" w:cs="Times New Roman"/>
            <w:sz w:val="24"/>
            <w:szCs w:val="24"/>
            <w:lang w:eastAsia="en-IN"/>
          </w:rPr>
          <w:t>58 Taxman 106</w:t>
        </w:r>
      </w:hyperlink>
      <w:r w:rsidRPr="00882AE2">
        <w:rPr>
          <w:rFonts w:asciiTheme="majorHAnsi" w:eastAsia="Times New Roman" w:hAnsiTheme="majorHAnsi" w:cs="Times New Roman"/>
          <w:sz w:val="24"/>
          <w:szCs w:val="24"/>
          <w:lang w:eastAsia="en-IN"/>
        </w:rPr>
        <w:t xml:space="preserve"> to contend that the modification in the consideration as per subsequent conveyance deed relates back to the date of original development agreement. He then referred to the submissions made before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in writing on the aspect of real income theory (page 6 of the paper book) and strongly relied on the same. He contended that real income theory applicable for ascertaining accrual of income also as held by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Bombay High Court in the case of </w:t>
      </w:r>
      <w:proofErr w:type="spellStart"/>
      <w:r w:rsidRPr="00882AE2">
        <w:rPr>
          <w:rFonts w:asciiTheme="majorHAnsi" w:eastAsia="Times New Roman" w:hAnsiTheme="majorHAnsi" w:cs="Times New Roman"/>
          <w:sz w:val="24"/>
          <w:szCs w:val="24"/>
          <w:lang w:eastAsia="en-IN"/>
        </w:rPr>
        <w:t>Shivsagar</w:t>
      </w:r>
      <w:proofErr w:type="spellEnd"/>
      <w:r w:rsidRPr="00882AE2">
        <w:rPr>
          <w:rFonts w:asciiTheme="majorHAnsi" w:eastAsia="Times New Roman" w:hAnsiTheme="majorHAnsi" w:cs="Times New Roman"/>
          <w:sz w:val="24"/>
          <w:szCs w:val="24"/>
          <w:lang w:eastAsia="en-IN"/>
        </w:rPr>
        <w:t xml:space="preserve"> Estate (AOP) (</w:t>
      </w:r>
      <w:proofErr w:type="gramStart"/>
      <w:r w:rsidRPr="00882AE2">
        <w:rPr>
          <w:rFonts w:asciiTheme="majorHAnsi" w:eastAsia="Times New Roman" w:hAnsiTheme="majorHAnsi" w:cs="Times New Roman"/>
          <w:sz w:val="24"/>
          <w:szCs w:val="24"/>
          <w:lang w:eastAsia="en-IN"/>
        </w:rPr>
        <w:t>supra )</w:t>
      </w:r>
      <w:proofErr w:type="gramEnd"/>
      <w:r w:rsidRPr="00882AE2">
        <w:rPr>
          <w:rFonts w:asciiTheme="majorHAnsi" w:eastAsia="Times New Roman" w:hAnsiTheme="majorHAnsi" w:cs="Times New Roman"/>
          <w:sz w:val="24"/>
          <w:szCs w:val="24"/>
          <w:lang w:eastAsia="en-IN"/>
        </w:rPr>
        <w:t>.</w:t>
      </w:r>
    </w:p>
    <w:p w:rsidR="004F6A6C" w:rsidRPr="00882AE2" w:rsidRDefault="004F6A6C"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8. The learned DR, on the other hand, strongly supported the impugned order of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in support of the Revenue's case on this issue. He submitted that all the judicial pronouncements cited by the learned counsel for the assessee in support of the </w:t>
      </w:r>
      <w:proofErr w:type="spellStart"/>
      <w:r w:rsidRPr="00882AE2">
        <w:rPr>
          <w:rFonts w:asciiTheme="majorHAnsi" w:eastAsia="Times New Roman" w:hAnsiTheme="majorHAnsi" w:cs="Times New Roman"/>
          <w:sz w:val="24"/>
          <w:szCs w:val="24"/>
          <w:lang w:eastAsia="en-IN"/>
        </w:rPr>
        <w:t>assessee's</w:t>
      </w:r>
      <w:proofErr w:type="spellEnd"/>
      <w:r w:rsidRPr="00882AE2">
        <w:rPr>
          <w:rFonts w:asciiTheme="majorHAnsi" w:eastAsia="Times New Roman" w:hAnsiTheme="majorHAnsi" w:cs="Times New Roman"/>
          <w:sz w:val="24"/>
          <w:szCs w:val="24"/>
          <w:lang w:eastAsia="en-IN"/>
        </w:rPr>
        <w:t xml:space="preserve"> case on this issue are distinguishable on facts. He submitted that for instance, in the case of </w:t>
      </w:r>
      <w:proofErr w:type="spellStart"/>
      <w:r w:rsidRPr="00882AE2">
        <w:rPr>
          <w:rFonts w:asciiTheme="majorHAnsi" w:eastAsia="Times New Roman" w:hAnsiTheme="majorHAnsi" w:cs="Times New Roman"/>
          <w:sz w:val="24"/>
          <w:szCs w:val="24"/>
          <w:lang w:eastAsia="en-IN"/>
        </w:rPr>
        <w:t>Kalpataru</w:t>
      </w:r>
      <w:proofErr w:type="spellEnd"/>
      <w:r w:rsidRPr="00882AE2">
        <w:rPr>
          <w:rFonts w:asciiTheme="majorHAnsi" w:eastAsia="Times New Roman" w:hAnsiTheme="majorHAnsi" w:cs="Times New Roman"/>
          <w:sz w:val="24"/>
          <w:szCs w:val="24"/>
          <w:lang w:eastAsia="en-IN"/>
        </w:rPr>
        <w:t xml:space="preserve"> Construction Overseas (P) Ltd. (supra), consideration was modified due to certain specific </w:t>
      </w:r>
      <w:proofErr w:type="gramStart"/>
      <w:r w:rsidRPr="00882AE2">
        <w:rPr>
          <w:rFonts w:asciiTheme="majorHAnsi" w:eastAsia="Times New Roman" w:hAnsiTheme="majorHAnsi" w:cs="Times New Roman"/>
          <w:sz w:val="24"/>
          <w:szCs w:val="24"/>
          <w:lang w:eastAsia="en-IN"/>
        </w:rPr>
        <w:t>reasons which is</w:t>
      </w:r>
      <w:proofErr w:type="gramEnd"/>
      <w:r w:rsidRPr="00882AE2">
        <w:rPr>
          <w:rFonts w:asciiTheme="majorHAnsi" w:eastAsia="Times New Roman" w:hAnsiTheme="majorHAnsi" w:cs="Times New Roman"/>
          <w:sz w:val="24"/>
          <w:szCs w:val="24"/>
          <w:lang w:eastAsia="en-IN"/>
        </w:rPr>
        <w:t xml:space="preserve"> not the case of the assessee. He submitted that similarly in the case of Bio </w:t>
      </w:r>
      <w:proofErr w:type="spellStart"/>
      <w:r w:rsidRPr="00882AE2">
        <w:rPr>
          <w:rFonts w:asciiTheme="majorHAnsi" w:eastAsia="Times New Roman" w:hAnsiTheme="majorHAnsi" w:cs="Times New Roman"/>
          <w:sz w:val="24"/>
          <w:szCs w:val="24"/>
          <w:lang w:eastAsia="en-IN"/>
        </w:rPr>
        <w:t>Pharma</w:t>
      </w:r>
      <w:proofErr w:type="spellEnd"/>
      <w:r w:rsidRPr="00882AE2">
        <w:rPr>
          <w:rFonts w:asciiTheme="majorHAnsi" w:eastAsia="Times New Roman" w:hAnsiTheme="majorHAnsi" w:cs="Times New Roman"/>
          <w:sz w:val="24"/>
          <w:szCs w:val="24"/>
          <w:lang w:eastAsia="en-IN"/>
        </w:rPr>
        <w:t xml:space="preserve"> (supra), consideration was reduced as a result of intervention of the Court under legal compulsion whereas in the </w:t>
      </w:r>
      <w:r w:rsidRPr="00882AE2">
        <w:rPr>
          <w:rFonts w:asciiTheme="majorHAnsi" w:eastAsia="Times New Roman" w:hAnsiTheme="majorHAnsi" w:cs="Times New Roman"/>
          <w:sz w:val="24"/>
          <w:szCs w:val="24"/>
          <w:lang w:eastAsia="en-IN"/>
        </w:rPr>
        <w:lastRenderedPageBreak/>
        <w:t>case of the assessee the consideration was modified voluntarily without any such compulsion.</w:t>
      </w:r>
    </w:p>
    <w:p w:rsidR="004F6A6C" w:rsidRPr="00882AE2" w:rsidRDefault="004F6A6C"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9. The learned DR relied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xml:space="preserve"> Calcutta High Court in the case of CIT v. Smt. </w:t>
      </w:r>
      <w:proofErr w:type="spellStart"/>
      <w:r w:rsidRPr="00882AE2">
        <w:rPr>
          <w:rFonts w:asciiTheme="majorHAnsi" w:eastAsia="Times New Roman" w:hAnsiTheme="majorHAnsi" w:cs="Times New Roman"/>
          <w:sz w:val="24"/>
          <w:szCs w:val="24"/>
          <w:lang w:eastAsia="en-IN"/>
        </w:rPr>
        <w:t>Bharati</w:t>
      </w:r>
      <w:proofErr w:type="spellEnd"/>
      <w:r w:rsidRPr="00882AE2">
        <w:rPr>
          <w:rFonts w:asciiTheme="majorHAnsi" w:eastAsia="Times New Roman" w:hAnsiTheme="majorHAnsi" w:cs="Times New Roman"/>
          <w:sz w:val="24"/>
          <w:szCs w:val="24"/>
          <w:lang w:eastAsia="en-IN"/>
        </w:rPr>
        <w:t xml:space="preserve"> C. Kothari [2000] </w:t>
      </w:r>
      <w:hyperlink r:id="rId23" w:history="1">
        <w:r w:rsidRPr="00882AE2">
          <w:rPr>
            <w:rFonts w:asciiTheme="majorHAnsi" w:eastAsia="Times New Roman" w:hAnsiTheme="majorHAnsi" w:cs="Times New Roman"/>
            <w:sz w:val="24"/>
            <w:szCs w:val="24"/>
            <w:lang w:eastAsia="en-IN"/>
          </w:rPr>
          <w:t>244 ITR 352</w:t>
        </w:r>
      </w:hyperlink>
      <w:r w:rsidRPr="00882AE2">
        <w:rPr>
          <w:rFonts w:asciiTheme="majorHAnsi" w:eastAsia="Times New Roman" w:hAnsiTheme="majorHAnsi" w:cs="Times New Roman"/>
          <w:sz w:val="24"/>
          <w:szCs w:val="24"/>
          <w:lang w:eastAsia="en-IN"/>
        </w:rPr>
        <w:t>/[2001] </w:t>
      </w:r>
      <w:hyperlink r:id="rId24" w:history="1">
        <w:r w:rsidRPr="00882AE2">
          <w:rPr>
            <w:rFonts w:asciiTheme="majorHAnsi" w:eastAsia="Times New Roman" w:hAnsiTheme="majorHAnsi" w:cs="Times New Roman"/>
            <w:sz w:val="24"/>
            <w:szCs w:val="24"/>
            <w:lang w:eastAsia="en-IN"/>
          </w:rPr>
          <w:t>117 Taxman 538</w:t>
        </w:r>
      </w:hyperlink>
      <w:r w:rsidRPr="00882AE2">
        <w:rPr>
          <w:rFonts w:asciiTheme="majorHAnsi" w:eastAsia="Times New Roman" w:hAnsiTheme="majorHAnsi" w:cs="Times New Roman"/>
          <w:sz w:val="24"/>
          <w:szCs w:val="24"/>
          <w:lang w:eastAsia="en-IN"/>
        </w:rPr>
        <w:t> as well as that of Mumbai Bench of ITAT in the case of </w:t>
      </w:r>
      <w:proofErr w:type="spellStart"/>
      <w:r w:rsidRPr="00882AE2">
        <w:rPr>
          <w:rFonts w:asciiTheme="majorHAnsi" w:eastAsia="Times New Roman" w:hAnsiTheme="majorHAnsi" w:cs="Times New Roman"/>
          <w:sz w:val="24"/>
          <w:szCs w:val="24"/>
          <w:lang w:eastAsia="en-IN"/>
        </w:rPr>
        <w:t>Asstt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CIT v. </w:t>
      </w:r>
      <w:proofErr w:type="spellStart"/>
      <w:r w:rsidRPr="00882AE2">
        <w:rPr>
          <w:rFonts w:asciiTheme="majorHAnsi" w:eastAsia="Times New Roman" w:hAnsiTheme="majorHAnsi" w:cs="Times New Roman"/>
          <w:sz w:val="24"/>
          <w:szCs w:val="24"/>
          <w:lang w:eastAsia="en-IN"/>
        </w:rPr>
        <w:t>Vidhata</w:t>
      </w:r>
      <w:proofErr w:type="spellEnd"/>
      <w:r w:rsidRPr="00882AE2">
        <w:rPr>
          <w:rFonts w:asciiTheme="majorHAnsi" w:eastAsia="Times New Roman" w:hAnsiTheme="majorHAnsi" w:cs="Times New Roman"/>
          <w:sz w:val="24"/>
          <w:szCs w:val="24"/>
          <w:lang w:eastAsia="en-IN"/>
        </w:rPr>
        <w:t xml:space="preserve"> Textiles (P.)</w:t>
      </w:r>
      <w:proofErr w:type="gramEnd"/>
      <w:r w:rsidRPr="00882AE2">
        <w:rPr>
          <w:rFonts w:asciiTheme="majorHAnsi" w:eastAsia="Times New Roman" w:hAnsiTheme="majorHAnsi" w:cs="Times New Roman"/>
          <w:sz w:val="24"/>
          <w:szCs w:val="24"/>
          <w:lang w:eastAsia="en-IN"/>
        </w:rPr>
        <w:t xml:space="preserve"> Ltd. [1999] </w:t>
      </w:r>
      <w:hyperlink r:id="rId25" w:history="1">
        <w:r w:rsidRPr="00882AE2">
          <w:rPr>
            <w:rFonts w:asciiTheme="majorHAnsi" w:eastAsia="Times New Roman" w:hAnsiTheme="majorHAnsi" w:cs="Times New Roman"/>
            <w:sz w:val="24"/>
            <w:szCs w:val="24"/>
            <w:lang w:eastAsia="en-IN"/>
          </w:rPr>
          <w:t>70 ITD 357</w:t>
        </w:r>
      </w:hyperlink>
      <w:r w:rsidRPr="00882AE2">
        <w:rPr>
          <w:rFonts w:asciiTheme="majorHAnsi" w:eastAsia="Times New Roman" w:hAnsiTheme="majorHAnsi" w:cs="Times New Roman"/>
          <w:sz w:val="24"/>
          <w:szCs w:val="24"/>
          <w:lang w:eastAsia="en-IN"/>
        </w:rPr>
        <w:t xml:space="preserve"> to contend that consideration modified subsequently will not have any bearing on computation of capital gain. He also relied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xml:space="preserve"> Delhi High court in the case of </w:t>
      </w:r>
      <w:proofErr w:type="spellStart"/>
      <w:r w:rsidRPr="00882AE2">
        <w:rPr>
          <w:rFonts w:asciiTheme="majorHAnsi" w:eastAsia="Times New Roman" w:hAnsiTheme="majorHAnsi" w:cs="Times New Roman"/>
          <w:sz w:val="24"/>
          <w:szCs w:val="24"/>
          <w:lang w:eastAsia="en-IN"/>
        </w:rPr>
        <w:t>Saraswati</w:t>
      </w:r>
      <w:proofErr w:type="spellEnd"/>
      <w:r w:rsidRPr="00882AE2">
        <w:rPr>
          <w:rFonts w:asciiTheme="majorHAnsi" w:eastAsia="Times New Roman" w:hAnsiTheme="majorHAnsi" w:cs="Times New Roman"/>
          <w:sz w:val="24"/>
          <w:szCs w:val="24"/>
          <w:lang w:eastAsia="en-IN"/>
        </w:rPr>
        <w:t xml:space="preserve"> Insurance Co. Ltd. v. CIT [2001] </w:t>
      </w:r>
      <w:hyperlink r:id="rId26" w:history="1">
        <w:r w:rsidRPr="00882AE2">
          <w:rPr>
            <w:rFonts w:asciiTheme="majorHAnsi" w:eastAsia="Times New Roman" w:hAnsiTheme="majorHAnsi" w:cs="Times New Roman"/>
            <w:sz w:val="24"/>
            <w:szCs w:val="24"/>
            <w:lang w:eastAsia="en-IN"/>
          </w:rPr>
          <w:t>252 ITR 430</w:t>
        </w:r>
      </w:hyperlink>
      <w:r w:rsidRPr="00882AE2">
        <w:rPr>
          <w:rFonts w:asciiTheme="majorHAnsi" w:eastAsia="Times New Roman" w:hAnsiTheme="majorHAnsi" w:cs="Times New Roman"/>
          <w:sz w:val="24"/>
          <w:szCs w:val="24"/>
          <w:lang w:eastAsia="en-IN"/>
        </w:rPr>
        <w:t>/ </w:t>
      </w:r>
      <w:hyperlink r:id="rId27" w:history="1">
        <w:r w:rsidRPr="00882AE2">
          <w:rPr>
            <w:rFonts w:asciiTheme="majorHAnsi" w:eastAsia="Times New Roman" w:hAnsiTheme="majorHAnsi" w:cs="Times New Roman"/>
            <w:sz w:val="24"/>
            <w:szCs w:val="24"/>
            <w:lang w:eastAsia="en-IN"/>
          </w:rPr>
          <w:t>116 Taxman 306</w:t>
        </w:r>
      </w:hyperlink>
      <w:r w:rsidRPr="00882AE2">
        <w:rPr>
          <w:rFonts w:asciiTheme="majorHAnsi" w:eastAsia="Times New Roman" w:hAnsiTheme="majorHAnsi" w:cs="Times New Roman"/>
          <w:sz w:val="24"/>
          <w:szCs w:val="24"/>
          <w:lang w:eastAsia="en-IN"/>
        </w:rPr>
        <w:t xml:space="preserve"> to contend that subsequent events are not relevant to ascertain the accrual of income. The learned DR submitted that capital gain in the present case had arisen in the year under consideration as a result of transfer of plot No. 257 by the assessee to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on execution of development agreement as held by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Bombay High Court in the case of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xml:space="preserve"> of Bombay (supra) and the same was required to be computed on the basis of consideration agreed upon in terms of the said development agreement as rightly held by the AO as well as by the learned CIT(Appeals).</w:t>
      </w:r>
    </w:p>
    <w:p w:rsidR="00C80B5F" w:rsidRPr="00882AE2" w:rsidRDefault="00C80B5F"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10. We have considered the rival submissions and also perused the relevant material on record. It is observed that the development rights in the property i.e. plot of </w:t>
      </w:r>
      <w:r w:rsidRPr="00882AE2">
        <w:rPr>
          <w:rFonts w:asciiTheme="majorHAnsi" w:eastAsia="Times New Roman" w:hAnsiTheme="majorHAnsi" w:cs="Times New Roman"/>
          <w:sz w:val="24"/>
          <w:szCs w:val="24"/>
          <w:lang w:eastAsia="en-IN"/>
        </w:rPr>
        <w:lastRenderedPageBreak/>
        <w:t xml:space="preserve">land No. 257 owned by the assessee were agreed to be sold to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as per the development agreement dated 16-06-2006 for a total consideration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and construction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free</w:t>
      </w:r>
      <w:proofErr w:type="gramEnd"/>
      <w:r w:rsidRPr="00882AE2">
        <w:rPr>
          <w:rFonts w:asciiTheme="majorHAnsi" w:eastAsia="Times New Roman" w:hAnsiTheme="majorHAnsi" w:cs="Times New Roman"/>
          <w:sz w:val="24"/>
          <w:szCs w:val="24"/>
          <w:lang w:eastAsia="en-IN"/>
        </w:rPr>
        <w:t xml:space="preserve"> of cost. The said construction was to be done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on another plot of land bearing No. 256 owned by the assessee. In the return of income filed for the year under consideration, capital gain arising from this transaction was offered by the assessee by taking into consideration the sale consideration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only and the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to be constructed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Developers free of cost was not taken into account on the ground that the consideration in this form was never received by it as a result of tripartite agreement executed on 5th July, 2007 whereby the entire property comprising plot No. 256 and 257 was sold to a third party. As per the said tripartite agreement, consideration of Rs.13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was additionally received by the assessee and the capital gain arising from the said transaction was offered to tax in assessment year 2008-09. According to the assessee, the terms of development agreement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thus had got modified to the effect that consideration only to the extent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was actually received in monetary terms and the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was</w:t>
      </w:r>
      <w:proofErr w:type="gramEnd"/>
      <w:r w:rsidRPr="00882AE2">
        <w:rPr>
          <w:rFonts w:asciiTheme="majorHAnsi" w:eastAsia="Times New Roman" w:hAnsiTheme="majorHAnsi" w:cs="Times New Roman"/>
          <w:sz w:val="24"/>
          <w:szCs w:val="24"/>
          <w:lang w:eastAsia="en-IN"/>
        </w:rPr>
        <w:t xml:space="preserve"> never received. According to the assessee, the consideration in the form of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thus</w:t>
      </w:r>
      <w:proofErr w:type="gramEnd"/>
      <w:r w:rsidRPr="00882AE2">
        <w:rPr>
          <w:rFonts w:asciiTheme="majorHAnsi" w:eastAsia="Times New Roman" w:hAnsiTheme="majorHAnsi" w:cs="Times New Roman"/>
          <w:sz w:val="24"/>
          <w:szCs w:val="24"/>
          <w:lang w:eastAsia="en-IN"/>
        </w:rPr>
        <w:t xml:space="preserve"> was neither received nor accrued as per the real income theory and there was no question of </w:t>
      </w:r>
      <w:r w:rsidRPr="00882AE2">
        <w:rPr>
          <w:rFonts w:asciiTheme="majorHAnsi" w:eastAsia="Times New Roman" w:hAnsiTheme="majorHAnsi" w:cs="Times New Roman"/>
          <w:sz w:val="24"/>
          <w:szCs w:val="24"/>
          <w:lang w:eastAsia="en-IN"/>
        </w:rPr>
        <w:lastRenderedPageBreak/>
        <w:t>any capital gain resulting from the said consideration.</w:t>
      </w:r>
    </w:p>
    <w:p w:rsidR="00C80B5F" w:rsidRPr="00882AE2" w:rsidRDefault="00C80B5F"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11. The AO as well as the learned </w:t>
      </w:r>
      <w:proofErr w:type="gramStart"/>
      <w:r w:rsidRPr="00882AE2">
        <w:rPr>
          <w:rFonts w:asciiTheme="majorHAnsi" w:eastAsia="Times New Roman" w:hAnsiTheme="majorHAnsi" w:cs="Times New Roman"/>
          <w:sz w:val="24"/>
          <w:szCs w:val="24"/>
          <w:lang w:eastAsia="en-IN"/>
        </w:rPr>
        <w:t>CIT(</w:t>
      </w:r>
      <w:proofErr w:type="gramEnd"/>
      <w:r w:rsidRPr="00882AE2">
        <w:rPr>
          <w:rFonts w:asciiTheme="majorHAnsi" w:eastAsia="Times New Roman" w:hAnsiTheme="majorHAnsi" w:cs="Times New Roman"/>
          <w:sz w:val="24"/>
          <w:szCs w:val="24"/>
          <w:lang w:eastAsia="en-IN"/>
        </w:rPr>
        <w:t xml:space="preserve">Appeals), however, did not accept the stand of the assessee on this issue based on real income theory. They held that there was a transfer of property bearing Plot of land No. 257 by the assessee on execution of development agreement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in the year under consideration and capital gain arising from the said transfer was required to be computed taking into account the entire consideration as agreed in terms of the development agreement including the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In support of this stand, they have relied on the decision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Bombay High Court in the case of </w:t>
      </w:r>
      <w:proofErr w:type="spellStart"/>
      <w:r w:rsidRPr="00882AE2">
        <w:rPr>
          <w:rFonts w:asciiTheme="majorHAnsi" w:eastAsia="Times New Roman" w:hAnsiTheme="majorHAnsi" w:cs="Times New Roman"/>
          <w:sz w:val="24"/>
          <w:szCs w:val="24"/>
          <w:lang w:eastAsia="en-IN"/>
        </w:rPr>
        <w:t>Chaturbhuj</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Dwarkadas</w:t>
      </w:r>
      <w:proofErr w:type="spellEnd"/>
      <w:r w:rsidRPr="00882AE2">
        <w:rPr>
          <w:rFonts w:asciiTheme="majorHAnsi" w:eastAsia="Times New Roman" w:hAnsiTheme="majorHAnsi" w:cs="Times New Roman"/>
          <w:sz w:val="24"/>
          <w:szCs w:val="24"/>
          <w:lang w:eastAsia="en-IN"/>
        </w:rPr>
        <w:t xml:space="preserve"> </w:t>
      </w:r>
      <w:proofErr w:type="spellStart"/>
      <w:r w:rsidRPr="00882AE2">
        <w:rPr>
          <w:rFonts w:asciiTheme="majorHAnsi" w:eastAsia="Times New Roman" w:hAnsiTheme="majorHAnsi" w:cs="Times New Roman"/>
          <w:sz w:val="24"/>
          <w:szCs w:val="24"/>
          <w:lang w:eastAsia="en-IN"/>
        </w:rPr>
        <w:t>Kapadia</w:t>
      </w:r>
      <w:proofErr w:type="spellEnd"/>
      <w:r w:rsidRPr="00882AE2">
        <w:rPr>
          <w:rFonts w:asciiTheme="majorHAnsi" w:eastAsia="Times New Roman" w:hAnsiTheme="majorHAnsi" w:cs="Times New Roman"/>
          <w:sz w:val="24"/>
          <w:szCs w:val="24"/>
          <w:lang w:eastAsia="en-IN"/>
        </w:rPr>
        <w:t xml:space="preserve"> of Bombay (supra). A perusal of the judgment of </w:t>
      </w:r>
      <w:proofErr w:type="spellStart"/>
      <w:r w:rsidRPr="00882AE2">
        <w:rPr>
          <w:rFonts w:asciiTheme="majorHAnsi" w:eastAsia="Times New Roman" w:hAnsiTheme="majorHAnsi" w:cs="Times New Roman"/>
          <w:sz w:val="24"/>
          <w:szCs w:val="24"/>
          <w:lang w:eastAsia="en-IN"/>
        </w:rPr>
        <w:t>Hon'ble</w:t>
      </w:r>
      <w:proofErr w:type="spellEnd"/>
      <w:r w:rsidRPr="00882AE2">
        <w:rPr>
          <w:rFonts w:asciiTheme="majorHAnsi" w:eastAsia="Times New Roman" w:hAnsiTheme="majorHAnsi" w:cs="Times New Roman"/>
          <w:sz w:val="24"/>
          <w:szCs w:val="24"/>
          <w:lang w:eastAsia="en-IN"/>
        </w:rPr>
        <w:t xml:space="preserve"> Bombay High Court in the said case, however, shows that the issue involved therein was whether the assessee had transferred the property owned by him during the relevant previous year as a result of development agreement whereby complete control over the property was transferred by the assessee in favour of the developer giving rise to capital gains chargeable to tax. In the present case, the issue involved, however, is different inasmuch as the assessee has not disputed at any stage that there was a transfer of property as a result of development agreement entered into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giving rise to capital gain chargeable to tax in the year under consideration. As a </w:t>
      </w:r>
      <w:r w:rsidRPr="00882AE2">
        <w:rPr>
          <w:rFonts w:asciiTheme="majorHAnsi" w:eastAsia="Times New Roman" w:hAnsiTheme="majorHAnsi" w:cs="Times New Roman"/>
          <w:sz w:val="24"/>
          <w:szCs w:val="24"/>
          <w:lang w:eastAsia="en-IN"/>
        </w:rPr>
        <w:lastRenderedPageBreak/>
        <w:t xml:space="preserve">matter of fact, the assessee has offered such capital gain to tax in the return of income filed for the year under consideration and the only dispute is relating to the exact quantum of sale consideration that is to be taken for the purpose of computing such capital gain. According to the assessee, although the total consideration as agreed in terms of development agreement was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in monetary terms and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free</w:t>
      </w:r>
      <w:proofErr w:type="gramEnd"/>
      <w:r w:rsidRPr="00882AE2">
        <w:rPr>
          <w:rFonts w:asciiTheme="majorHAnsi" w:eastAsia="Times New Roman" w:hAnsiTheme="majorHAnsi" w:cs="Times New Roman"/>
          <w:sz w:val="24"/>
          <w:szCs w:val="24"/>
          <w:lang w:eastAsia="en-IN"/>
        </w:rPr>
        <w:t xml:space="preserve"> of cost, what has been finally received by it is only the monetary consideration to the tune of Rs.16.11 </w:t>
      </w:r>
      <w:proofErr w:type="spellStart"/>
      <w:r w:rsidRPr="00882AE2">
        <w:rPr>
          <w:rFonts w:asciiTheme="majorHAnsi" w:eastAsia="Times New Roman" w:hAnsiTheme="majorHAnsi" w:cs="Times New Roman"/>
          <w:sz w:val="24"/>
          <w:szCs w:val="24"/>
          <w:lang w:eastAsia="en-IN"/>
        </w:rPr>
        <w:t>crores</w:t>
      </w:r>
      <w:proofErr w:type="spellEnd"/>
      <w:r w:rsidRPr="00882AE2">
        <w:rPr>
          <w:rFonts w:asciiTheme="majorHAnsi" w:eastAsia="Times New Roman" w:hAnsiTheme="majorHAnsi" w:cs="Times New Roman"/>
          <w:sz w:val="24"/>
          <w:szCs w:val="24"/>
          <w:lang w:eastAsia="en-IN"/>
        </w:rPr>
        <w:t xml:space="preserve">. The balance consideration in the form of constructed area </w:t>
      </w:r>
      <w:proofErr w:type="gramStart"/>
      <w:r w:rsidRPr="00882AE2">
        <w:rPr>
          <w:rFonts w:asciiTheme="majorHAnsi" w:eastAsia="Times New Roman" w:hAnsiTheme="majorHAnsi" w:cs="Times New Roman"/>
          <w:sz w:val="24"/>
          <w:szCs w:val="24"/>
          <w:lang w:eastAsia="en-IN"/>
        </w:rPr>
        <w:t xml:space="preserve">of 18,000 </w:t>
      </w:r>
      <w:proofErr w:type="spellStart"/>
      <w:r w:rsidRPr="00882AE2">
        <w:rPr>
          <w:rFonts w:asciiTheme="majorHAnsi" w:eastAsia="Times New Roman" w:hAnsiTheme="majorHAnsi" w:cs="Times New Roman"/>
          <w:sz w:val="24"/>
          <w:szCs w:val="24"/>
          <w:lang w:eastAsia="en-IN"/>
        </w:rPr>
        <w:t>sq.ft</w:t>
      </w:r>
      <w:proofErr w:type="spellEnd"/>
      <w:proofErr w:type="gram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was</w:t>
      </w:r>
      <w:proofErr w:type="gramEnd"/>
      <w:r w:rsidRPr="00882AE2">
        <w:rPr>
          <w:rFonts w:asciiTheme="majorHAnsi" w:eastAsia="Times New Roman" w:hAnsiTheme="majorHAnsi" w:cs="Times New Roman"/>
          <w:sz w:val="24"/>
          <w:szCs w:val="24"/>
          <w:lang w:eastAsia="en-IN"/>
        </w:rPr>
        <w:t xml:space="preserve"> never actually received by it as a result of subsequent developments/events whereby the entire property owned by the assessee comprising of plot No. 256 and 257 was sold to a third party. The question, therefore, is </w:t>
      </w:r>
      <w:proofErr w:type="gramStart"/>
      <w:r w:rsidRPr="00882AE2">
        <w:rPr>
          <w:rFonts w:asciiTheme="majorHAnsi" w:eastAsia="Times New Roman" w:hAnsiTheme="majorHAnsi" w:cs="Times New Roman"/>
          <w:sz w:val="24"/>
          <w:szCs w:val="24"/>
          <w:lang w:eastAsia="en-IN"/>
        </w:rPr>
        <w:t xml:space="preserve">what exactly is the consideration to be taken into account while computing the capital gain arising as a result of transfer of property of the assessee by way of development agreement entered into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in the year under consideration</w:t>
      </w:r>
      <w:proofErr w:type="gramEnd"/>
      <w:r w:rsidRPr="00882AE2">
        <w:rPr>
          <w:rFonts w:asciiTheme="majorHAnsi" w:eastAsia="Times New Roman" w:hAnsiTheme="majorHAnsi" w:cs="Times New Roman"/>
          <w:sz w:val="24"/>
          <w:szCs w:val="24"/>
          <w:lang w:eastAsia="en-IN"/>
        </w:rPr>
        <w:t>.</w:t>
      </w:r>
    </w:p>
    <w:p w:rsidR="00C80B5F" w:rsidRPr="00882AE2" w:rsidRDefault="00C80B5F" w:rsidP="006E1A44">
      <w:pPr>
        <w:shd w:val="clear" w:color="auto" w:fill="FFFFFF"/>
        <w:spacing w:after="0" w:line="240" w:lineRule="auto"/>
        <w:rPr>
          <w:rFonts w:asciiTheme="majorHAnsi" w:eastAsia="Times New Roman" w:hAnsiTheme="majorHAnsi" w:cs="Times New Roman"/>
          <w:sz w:val="24"/>
          <w:szCs w:val="24"/>
          <w:lang w:eastAsia="en-IN"/>
        </w:rPr>
      </w:pPr>
    </w:p>
    <w:p w:rsidR="00C80B5F"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12. The provisions relating to computation of income from capital gains are contained in Chapter IV of the Income-tax Act, 1961. Section 45 of the said Chapter is a charging provision which provides that any profits or gains arising from a transfer of the capital assets effected in the previous year shall, save as otherwise provided in other sections, be chargeable to income-tax under the head "Capital gains", and shall be deemed to be the </w:t>
      </w:r>
      <w:r w:rsidRPr="00882AE2">
        <w:rPr>
          <w:rFonts w:asciiTheme="majorHAnsi" w:eastAsia="Times New Roman" w:hAnsiTheme="majorHAnsi" w:cs="Times New Roman"/>
          <w:sz w:val="24"/>
          <w:szCs w:val="24"/>
          <w:lang w:eastAsia="en-IN"/>
        </w:rPr>
        <w:lastRenderedPageBreak/>
        <w:t xml:space="preserve">income of the previous year in which the transfer took place. Section 48 gives a mode of computation of capital gains and provides that the income chargeable under the head "Capital gains" shall be computed after allowing certain deductions from the full value of the consideration received or accruing as a result of the transfer of the capital asset. The question that arises for our consideration in the present case is </w:t>
      </w:r>
      <w:proofErr w:type="gramStart"/>
      <w:r w:rsidRPr="00882AE2">
        <w:rPr>
          <w:rFonts w:asciiTheme="majorHAnsi" w:eastAsia="Times New Roman" w:hAnsiTheme="majorHAnsi" w:cs="Times New Roman"/>
          <w:sz w:val="24"/>
          <w:szCs w:val="24"/>
          <w:lang w:eastAsia="en-IN"/>
        </w:rPr>
        <w:t xml:space="preserve">what exactly is the full value of the consideration received or accruing to the assessee as a result of the transfer of the capital asset by the development agreement entered into with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during the year under consideration</w:t>
      </w:r>
      <w:proofErr w:type="gramEnd"/>
      <w:r w:rsidRPr="00882AE2">
        <w:rPr>
          <w:rFonts w:asciiTheme="majorHAnsi" w:eastAsia="Times New Roman" w:hAnsiTheme="majorHAnsi" w:cs="Times New Roman"/>
          <w:sz w:val="24"/>
          <w:szCs w:val="24"/>
          <w:lang w:eastAsia="en-IN"/>
        </w:rPr>
        <w:t xml:space="preserve">. The claim of the assessee is that the consideration in the form of constructed area of 18,000 </w:t>
      </w:r>
      <w:proofErr w:type="spellStart"/>
      <w:r w:rsidRPr="00882AE2">
        <w:rPr>
          <w:rFonts w:asciiTheme="majorHAnsi" w:eastAsia="Times New Roman" w:hAnsiTheme="majorHAnsi" w:cs="Times New Roman"/>
          <w:sz w:val="24"/>
          <w:szCs w:val="24"/>
          <w:lang w:eastAsia="en-IN"/>
        </w:rPr>
        <w:t>sq.ft</w:t>
      </w:r>
      <w:proofErr w:type="spellEnd"/>
      <w:r w:rsidRPr="00882AE2">
        <w:rPr>
          <w:rFonts w:asciiTheme="majorHAnsi" w:eastAsia="Times New Roman" w:hAnsiTheme="majorHAnsi" w:cs="Times New Roman"/>
          <w:sz w:val="24"/>
          <w:szCs w:val="24"/>
          <w:lang w:eastAsia="en-IN"/>
        </w:rPr>
        <w:t xml:space="preserve">. </w:t>
      </w:r>
      <w:proofErr w:type="gramStart"/>
      <w:r w:rsidRPr="00882AE2">
        <w:rPr>
          <w:rFonts w:asciiTheme="majorHAnsi" w:eastAsia="Times New Roman" w:hAnsiTheme="majorHAnsi" w:cs="Times New Roman"/>
          <w:sz w:val="24"/>
          <w:szCs w:val="24"/>
          <w:lang w:eastAsia="en-IN"/>
        </w:rPr>
        <w:t>as</w:t>
      </w:r>
      <w:proofErr w:type="gramEnd"/>
      <w:r w:rsidRPr="00882AE2">
        <w:rPr>
          <w:rFonts w:asciiTheme="majorHAnsi" w:eastAsia="Times New Roman" w:hAnsiTheme="majorHAnsi" w:cs="Times New Roman"/>
          <w:sz w:val="24"/>
          <w:szCs w:val="24"/>
          <w:lang w:eastAsia="en-IN"/>
        </w:rPr>
        <w:t xml:space="preserve"> stated in the development agreement having not been actually received by it, the same cannot be taken into account for computing the capital gains. It has been pleaded on behalf of the assessee that no such area having been actually constructed or handed over to it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as a result of subsequent events/developments, the consideration in the form of constructed area never accrued to it. </w:t>
      </w:r>
    </w:p>
    <w:p w:rsidR="00C80B5F" w:rsidRPr="00882AE2" w:rsidRDefault="00C80B5F"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r w:rsidRPr="00882AE2">
        <w:rPr>
          <w:rFonts w:asciiTheme="majorHAnsi" w:eastAsia="Times New Roman" w:hAnsiTheme="majorHAnsi" w:cs="Times New Roman"/>
          <w:sz w:val="24"/>
          <w:szCs w:val="24"/>
          <w:lang w:eastAsia="en-IN"/>
        </w:rPr>
        <w:t xml:space="preserve">The stand of the Department is that the total consideration including the value of constructed area as agreed to be given to the assessee by M/s </w:t>
      </w:r>
      <w:proofErr w:type="spellStart"/>
      <w:r w:rsidRPr="00882AE2">
        <w:rPr>
          <w:rFonts w:asciiTheme="majorHAnsi" w:eastAsia="Times New Roman" w:hAnsiTheme="majorHAnsi" w:cs="Times New Roman"/>
          <w:sz w:val="24"/>
          <w:szCs w:val="24"/>
          <w:lang w:eastAsia="en-IN"/>
        </w:rPr>
        <w:t>Dipti</w:t>
      </w:r>
      <w:proofErr w:type="spellEnd"/>
      <w:r w:rsidRPr="00882AE2">
        <w:rPr>
          <w:rFonts w:asciiTheme="majorHAnsi" w:eastAsia="Times New Roman" w:hAnsiTheme="majorHAnsi" w:cs="Times New Roman"/>
          <w:sz w:val="24"/>
          <w:szCs w:val="24"/>
          <w:lang w:eastAsia="en-IN"/>
        </w:rPr>
        <w:t xml:space="preserve"> Builders in terms of the agreement had accrued to the assessee in the year under consideration and the same, therefore, was to be taken into account for computing the capital gains irrespective of </w:t>
      </w:r>
      <w:r w:rsidRPr="00882AE2">
        <w:rPr>
          <w:rFonts w:asciiTheme="majorHAnsi" w:eastAsia="Times New Roman" w:hAnsiTheme="majorHAnsi" w:cs="Times New Roman"/>
          <w:sz w:val="24"/>
          <w:szCs w:val="24"/>
          <w:lang w:eastAsia="en-IN"/>
        </w:rPr>
        <w:lastRenderedPageBreak/>
        <w:t>the subsequent events/developments which are not relevant in this context.</w:t>
      </w:r>
    </w:p>
    <w:p w:rsidR="00E013C6" w:rsidRPr="00882AE2" w:rsidRDefault="00E013C6" w:rsidP="006E1A44">
      <w:pPr>
        <w:shd w:val="clear" w:color="auto" w:fill="FFFFFF"/>
        <w:spacing w:after="0" w:line="240" w:lineRule="auto"/>
        <w:rPr>
          <w:rFonts w:asciiTheme="majorHAnsi" w:eastAsia="Times New Roman" w:hAnsiTheme="majorHAnsi" w:cs="Times New Roman"/>
          <w:sz w:val="24"/>
          <w:szCs w:val="24"/>
          <w:lang w:eastAsia="en-IN"/>
        </w:rPr>
      </w:pPr>
    </w:p>
    <w:p w:rsidR="00E013C6" w:rsidRPr="006E1A44" w:rsidRDefault="00E013C6" w:rsidP="006E1A44">
      <w:pPr>
        <w:shd w:val="clear" w:color="auto" w:fill="FFFFFF"/>
        <w:spacing w:after="0" w:line="240" w:lineRule="auto"/>
        <w:rPr>
          <w:rFonts w:asciiTheme="majorHAnsi" w:eastAsia="Times New Roman" w:hAnsiTheme="majorHAnsi" w:cs="Arial"/>
          <w:b/>
          <w:bCs/>
          <w:sz w:val="24"/>
          <w:szCs w:val="24"/>
          <w:lang w:eastAsia="en-IN"/>
        </w:rPr>
      </w:pPr>
    </w:p>
    <w:p w:rsidR="00E013C6" w:rsidRPr="006E1A44" w:rsidRDefault="00E013C6" w:rsidP="006E1A44">
      <w:pPr>
        <w:shd w:val="clear" w:color="auto" w:fill="FFFFFF"/>
        <w:spacing w:after="0" w:line="240" w:lineRule="auto"/>
        <w:rPr>
          <w:rFonts w:asciiTheme="majorHAnsi" w:eastAsia="Times New Roman" w:hAnsiTheme="majorHAnsi" w:cs="Arial"/>
          <w:b/>
          <w:bCs/>
          <w:sz w:val="24"/>
          <w:szCs w:val="24"/>
          <w:lang w:eastAsia="en-IN"/>
        </w:rPr>
      </w:pPr>
    </w:p>
    <w:p w:rsidR="00E013C6" w:rsidRPr="006E1A44" w:rsidRDefault="00E013C6" w:rsidP="006E1A44">
      <w:pPr>
        <w:shd w:val="clear" w:color="auto" w:fill="FFFFFF"/>
        <w:spacing w:after="0" w:line="240" w:lineRule="auto"/>
        <w:rPr>
          <w:rFonts w:asciiTheme="majorHAnsi" w:eastAsia="Times New Roman" w:hAnsiTheme="majorHAnsi" w:cs="Arial"/>
          <w:b/>
          <w:bCs/>
          <w:sz w:val="24"/>
          <w:szCs w:val="24"/>
          <w:lang w:eastAsia="en-IN"/>
        </w:rPr>
      </w:pPr>
    </w:p>
    <w:p w:rsidR="00E013C6" w:rsidRPr="006E1A44" w:rsidRDefault="00E013C6" w:rsidP="006E1A44">
      <w:pPr>
        <w:spacing w:after="0"/>
        <w:rPr>
          <w:rFonts w:asciiTheme="majorHAnsi" w:eastAsia="Times New Roman" w:hAnsiTheme="majorHAnsi" w:cs="Arial"/>
          <w:b/>
          <w:bCs/>
          <w:sz w:val="24"/>
          <w:szCs w:val="24"/>
          <w:lang w:eastAsia="en-IN"/>
        </w:rPr>
      </w:pPr>
    </w:p>
    <w:sectPr w:rsidR="00E013C6" w:rsidRPr="006E1A44" w:rsidSect="006E1A44">
      <w:pgSz w:w="16838" w:h="11906" w:orient="landscape"/>
      <w:pgMar w:top="720" w:right="720" w:bottom="720" w:left="720" w:header="708" w:footer="708" w:gutter="0"/>
      <w:cols w:num="3" w:sep="1"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FFD"/>
    <w:multiLevelType w:val="multilevel"/>
    <w:tmpl w:val="81EE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4"/>
    <w:rsid w:val="002210A0"/>
    <w:rsid w:val="004611B1"/>
    <w:rsid w:val="004F6A6C"/>
    <w:rsid w:val="006E1A44"/>
    <w:rsid w:val="00712668"/>
    <w:rsid w:val="00882AE2"/>
    <w:rsid w:val="008E5ABB"/>
    <w:rsid w:val="00901EA2"/>
    <w:rsid w:val="00C80B5F"/>
    <w:rsid w:val="00CA7620"/>
    <w:rsid w:val="00CD03E4"/>
    <w:rsid w:val="00D1763C"/>
    <w:rsid w:val="00E013C6"/>
    <w:rsid w:val="00F65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E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D03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D03E4"/>
  </w:style>
  <w:style w:type="character" w:styleId="Hyperlink">
    <w:name w:val="Hyperlink"/>
    <w:basedOn w:val="DefaultParagraphFont"/>
    <w:uiPriority w:val="99"/>
    <w:semiHidden/>
    <w:unhideWhenUsed/>
    <w:rsid w:val="00E013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E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D03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D03E4"/>
  </w:style>
  <w:style w:type="character" w:styleId="Hyperlink">
    <w:name w:val="Hyperlink"/>
    <w:basedOn w:val="DefaultParagraphFont"/>
    <w:uiPriority w:val="99"/>
    <w:semiHidden/>
    <w:unhideWhenUsed/>
    <w:rsid w:val="00E01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047">
      <w:bodyDiv w:val="1"/>
      <w:marLeft w:val="0"/>
      <w:marRight w:val="0"/>
      <w:marTop w:val="0"/>
      <w:marBottom w:val="0"/>
      <w:divBdr>
        <w:top w:val="none" w:sz="0" w:space="0" w:color="auto"/>
        <w:left w:val="none" w:sz="0" w:space="0" w:color="auto"/>
        <w:bottom w:val="none" w:sz="0" w:space="0" w:color="auto"/>
        <w:right w:val="none" w:sz="0" w:space="0" w:color="auto"/>
      </w:divBdr>
      <w:divsChild>
        <w:div w:id="148636126">
          <w:marLeft w:val="0"/>
          <w:marRight w:val="0"/>
          <w:marTop w:val="1005"/>
          <w:marBottom w:val="0"/>
          <w:divBdr>
            <w:top w:val="none" w:sz="0" w:space="0" w:color="auto"/>
            <w:left w:val="none" w:sz="0" w:space="0" w:color="auto"/>
            <w:bottom w:val="none" w:sz="0" w:space="0" w:color="auto"/>
            <w:right w:val="none" w:sz="0" w:space="0" w:color="auto"/>
          </w:divBdr>
          <w:divsChild>
            <w:div w:id="1203591751">
              <w:marLeft w:val="0"/>
              <w:marRight w:val="0"/>
              <w:marTop w:val="225"/>
              <w:marBottom w:val="0"/>
              <w:divBdr>
                <w:top w:val="none" w:sz="0" w:space="0" w:color="auto"/>
                <w:left w:val="none" w:sz="0" w:space="0" w:color="auto"/>
                <w:bottom w:val="none" w:sz="0" w:space="0" w:color="auto"/>
                <w:right w:val="none" w:sz="0" w:space="0" w:color="auto"/>
              </w:divBdr>
              <w:divsChild>
                <w:div w:id="2058554007">
                  <w:marLeft w:val="300"/>
                  <w:marRight w:val="300"/>
                  <w:marTop w:val="300"/>
                  <w:marBottom w:val="300"/>
                  <w:divBdr>
                    <w:top w:val="none" w:sz="0" w:space="0" w:color="auto"/>
                    <w:left w:val="none" w:sz="0" w:space="0" w:color="auto"/>
                    <w:bottom w:val="none" w:sz="0" w:space="0" w:color="auto"/>
                    <w:right w:val="none" w:sz="0" w:space="0" w:color="auto"/>
                  </w:divBdr>
                  <w:divsChild>
                    <w:div w:id="401224028">
                      <w:marLeft w:val="0"/>
                      <w:marRight w:val="0"/>
                      <w:marTop w:val="0"/>
                      <w:marBottom w:val="0"/>
                      <w:divBdr>
                        <w:top w:val="none" w:sz="0" w:space="0" w:color="auto"/>
                        <w:left w:val="none" w:sz="0" w:space="0" w:color="auto"/>
                        <w:bottom w:val="single" w:sz="6" w:space="0" w:color="010101"/>
                        <w:right w:val="none" w:sz="0" w:space="0" w:color="auto"/>
                      </w:divBdr>
                    </w:div>
                    <w:div w:id="598947211">
                      <w:marLeft w:val="0"/>
                      <w:marRight w:val="0"/>
                      <w:marTop w:val="0"/>
                      <w:marBottom w:val="0"/>
                      <w:divBdr>
                        <w:top w:val="none" w:sz="0" w:space="0" w:color="auto"/>
                        <w:left w:val="none" w:sz="0" w:space="0" w:color="auto"/>
                        <w:bottom w:val="single" w:sz="6" w:space="0" w:color="010101"/>
                        <w:right w:val="none" w:sz="0" w:space="0" w:color="auto"/>
                      </w:divBdr>
                    </w:div>
                    <w:div w:id="1043940797">
                      <w:marLeft w:val="0"/>
                      <w:marRight w:val="0"/>
                      <w:marTop w:val="0"/>
                      <w:marBottom w:val="0"/>
                      <w:divBdr>
                        <w:top w:val="none" w:sz="0" w:space="0" w:color="auto"/>
                        <w:left w:val="none" w:sz="0" w:space="0" w:color="auto"/>
                        <w:bottom w:val="single" w:sz="6" w:space="0" w:color="010101"/>
                        <w:right w:val="none" w:sz="0" w:space="0" w:color="auto"/>
                      </w:divBdr>
                    </w:div>
                    <w:div w:id="48768503">
                      <w:marLeft w:val="0"/>
                      <w:marRight w:val="0"/>
                      <w:marTop w:val="0"/>
                      <w:marBottom w:val="0"/>
                      <w:divBdr>
                        <w:top w:val="none" w:sz="0" w:space="0" w:color="auto"/>
                        <w:left w:val="none" w:sz="0" w:space="0" w:color="auto"/>
                        <w:bottom w:val="single" w:sz="6" w:space="0" w:color="010101"/>
                        <w:right w:val="none" w:sz="0" w:space="0" w:color="auto"/>
                      </w:divBdr>
                    </w:div>
                  </w:divsChild>
                </w:div>
              </w:divsChild>
            </w:div>
          </w:divsChild>
        </w:div>
        <w:div w:id="591470301">
          <w:marLeft w:val="0"/>
          <w:marRight w:val="0"/>
          <w:marTop w:val="0"/>
          <w:marBottom w:val="0"/>
          <w:divBdr>
            <w:top w:val="none" w:sz="0" w:space="0" w:color="auto"/>
            <w:left w:val="none" w:sz="0" w:space="0" w:color="auto"/>
            <w:bottom w:val="none" w:sz="0" w:space="0" w:color="auto"/>
            <w:right w:val="none" w:sz="0" w:space="0" w:color="auto"/>
          </w:divBdr>
          <w:divsChild>
            <w:div w:id="1184133085">
              <w:marLeft w:val="0"/>
              <w:marRight w:val="0"/>
              <w:marTop w:val="0"/>
              <w:marBottom w:val="0"/>
              <w:divBdr>
                <w:top w:val="none" w:sz="0" w:space="0" w:color="auto"/>
                <w:left w:val="none" w:sz="0" w:space="0" w:color="auto"/>
                <w:bottom w:val="none" w:sz="0" w:space="0" w:color="auto"/>
                <w:right w:val="none" w:sz="0" w:space="0" w:color="auto"/>
              </w:divBdr>
              <w:divsChild>
                <w:div w:id="928123593">
                  <w:marLeft w:val="0"/>
                  <w:marRight w:val="0"/>
                  <w:marTop w:val="0"/>
                  <w:marBottom w:val="0"/>
                  <w:divBdr>
                    <w:top w:val="none" w:sz="0" w:space="0" w:color="auto"/>
                    <w:left w:val="none" w:sz="0" w:space="0" w:color="auto"/>
                    <w:bottom w:val="none" w:sz="0" w:space="0" w:color="auto"/>
                    <w:right w:val="none" w:sz="0" w:space="0" w:color="auto"/>
                  </w:divBdr>
                  <w:divsChild>
                    <w:div w:id="6421542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5126">
      <w:bodyDiv w:val="1"/>
      <w:marLeft w:val="0"/>
      <w:marRight w:val="0"/>
      <w:marTop w:val="0"/>
      <w:marBottom w:val="0"/>
      <w:divBdr>
        <w:top w:val="none" w:sz="0" w:space="0" w:color="auto"/>
        <w:left w:val="none" w:sz="0" w:space="0" w:color="auto"/>
        <w:bottom w:val="none" w:sz="0" w:space="0" w:color="auto"/>
        <w:right w:val="none" w:sz="0" w:space="0" w:color="auto"/>
      </w:divBdr>
      <w:divsChild>
        <w:div w:id="1643077494">
          <w:marLeft w:val="0"/>
          <w:marRight w:val="0"/>
          <w:marTop w:val="0"/>
          <w:marBottom w:val="0"/>
          <w:divBdr>
            <w:top w:val="none" w:sz="0" w:space="0" w:color="auto"/>
            <w:left w:val="none" w:sz="0" w:space="0" w:color="auto"/>
            <w:bottom w:val="none" w:sz="0" w:space="0" w:color="auto"/>
            <w:right w:val="none" w:sz="0" w:space="0" w:color="auto"/>
          </w:divBdr>
        </w:div>
        <w:div w:id="2017224428">
          <w:marLeft w:val="0"/>
          <w:marRight w:val="0"/>
          <w:marTop w:val="0"/>
          <w:marBottom w:val="0"/>
          <w:divBdr>
            <w:top w:val="none" w:sz="0" w:space="0" w:color="auto"/>
            <w:left w:val="none" w:sz="0" w:space="0" w:color="auto"/>
            <w:bottom w:val="none" w:sz="0" w:space="0" w:color="auto"/>
            <w:right w:val="none" w:sz="0" w:space="0" w:color="auto"/>
          </w:divBdr>
          <w:divsChild>
            <w:div w:id="1729063931">
              <w:marLeft w:val="0"/>
              <w:marRight w:val="0"/>
              <w:marTop w:val="0"/>
              <w:marBottom w:val="0"/>
              <w:divBdr>
                <w:top w:val="none" w:sz="0" w:space="0" w:color="auto"/>
                <w:left w:val="none" w:sz="0" w:space="0" w:color="auto"/>
                <w:bottom w:val="none" w:sz="0" w:space="0" w:color="auto"/>
                <w:right w:val="none" w:sz="0" w:space="0" w:color="auto"/>
              </w:divBdr>
            </w:div>
            <w:div w:id="1747067960">
              <w:marLeft w:val="0"/>
              <w:marRight w:val="0"/>
              <w:marTop w:val="0"/>
              <w:marBottom w:val="0"/>
              <w:divBdr>
                <w:top w:val="none" w:sz="0" w:space="0" w:color="auto"/>
                <w:left w:val="none" w:sz="0" w:space="0" w:color="auto"/>
                <w:bottom w:val="none" w:sz="0" w:space="0" w:color="auto"/>
                <w:right w:val="none" w:sz="0" w:space="0" w:color="auto"/>
              </w:divBdr>
              <w:divsChild>
                <w:div w:id="422726043">
                  <w:marLeft w:val="0"/>
                  <w:marRight w:val="0"/>
                  <w:marTop w:val="0"/>
                  <w:marBottom w:val="0"/>
                  <w:divBdr>
                    <w:top w:val="none" w:sz="0" w:space="0" w:color="auto"/>
                    <w:left w:val="none" w:sz="0" w:space="0" w:color="auto"/>
                    <w:bottom w:val="none" w:sz="0" w:space="0" w:color="auto"/>
                    <w:right w:val="none" w:sz="0" w:space="0" w:color="auto"/>
                  </w:divBdr>
                  <w:divsChild>
                    <w:div w:id="564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79549">
      <w:bodyDiv w:val="1"/>
      <w:marLeft w:val="0"/>
      <w:marRight w:val="0"/>
      <w:marTop w:val="0"/>
      <w:marBottom w:val="0"/>
      <w:divBdr>
        <w:top w:val="none" w:sz="0" w:space="0" w:color="auto"/>
        <w:left w:val="none" w:sz="0" w:space="0" w:color="auto"/>
        <w:bottom w:val="none" w:sz="0" w:space="0" w:color="auto"/>
        <w:right w:val="none" w:sz="0" w:space="0" w:color="auto"/>
      </w:divBdr>
      <w:divsChild>
        <w:div w:id="277418921">
          <w:marLeft w:val="0"/>
          <w:marRight w:val="0"/>
          <w:marTop w:val="0"/>
          <w:marBottom w:val="0"/>
          <w:divBdr>
            <w:top w:val="none" w:sz="0" w:space="0" w:color="auto"/>
            <w:left w:val="none" w:sz="0" w:space="0" w:color="auto"/>
            <w:bottom w:val="single" w:sz="6" w:space="0" w:color="010101"/>
            <w:right w:val="none" w:sz="0" w:space="0" w:color="auto"/>
          </w:divBdr>
        </w:div>
      </w:divsChild>
    </w:div>
    <w:div w:id="1517884489">
      <w:bodyDiv w:val="1"/>
      <w:marLeft w:val="0"/>
      <w:marRight w:val="0"/>
      <w:marTop w:val="0"/>
      <w:marBottom w:val="0"/>
      <w:divBdr>
        <w:top w:val="none" w:sz="0" w:space="0" w:color="auto"/>
        <w:left w:val="none" w:sz="0" w:space="0" w:color="auto"/>
        <w:bottom w:val="none" w:sz="0" w:space="0" w:color="auto"/>
        <w:right w:val="none" w:sz="0" w:space="0" w:color="auto"/>
      </w:divBdr>
    </w:div>
    <w:div w:id="1578901424">
      <w:bodyDiv w:val="1"/>
      <w:marLeft w:val="0"/>
      <w:marRight w:val="0"/>
      <w:marTop w:val="0"/>
      <w:marBottom w:val="0"/>
      <w:divBdr>
        <w:top w:val="none" w:sz="0" w:space="0" w:color="auto"/>
        <w:left w:val="none" w:sz="0" w:space="0" w:color="auto"/>
        <w:bottom w:val="none" w:sz="0" w:space="0" w:color="auto"/>
        <w:right w:val="none" w:sz="0" w:space="0" w:color="auto"/>
      </w:divBdr>
      <w:divsChild>
        <w:div w:id="1576816789">
          <w:marLeft w:val="0"/>
          <w:marRight w:val="0"/>
          <w:marTop w:val="0"/>
          <w:marBottom w:val="0"/>
          <w:divBdr>
            <w:top w:val="none" w:sz="0" w:space="0" w:color="auto"/>
            <w:left w:val="none" w:sz="0" w:space="0" w:color="auto"/>
            <w:bottom w:val="single" w:sz="6" w:space="0" w:color="010101"/>
            <w:right w:val="none" w:sz="0" w:space="0" w:color="auto"/>
          </w:divBdr>
        </w:div>
        <w:div w:id="2088189477">
          <w:marLeft w:val="0"/>
          <w:marRight w:val="0"/>
          <w:marTop w:val="0"/>
          <w:marBottom w:val="0"/>
          <w:divBdr>
            <w:top w:val="none" w:sz="0" w:space="0" w:color="auto"/>
            <w:left w:val="none" w:sz="0" w:space="0" w:color="auto"/>
            <w:bottom w:val="single" w:sz="6" w:space="0" w:color="010101"/>
            <w:right w:val="none" w:sz="0" w:space="0" w:color="auto"/>
          </w:divBdr>
        </w:div>
        <w:div w:id="1046561849">
          <w:marLeft w:val="0"/>
          <w:marRight w:val="0"/>
          <w:marTop w:val="0"/>
          <w:marBottom w:val="0"/>
          <w:divBdr>
            <w:top w:val="none" w:sz="0" w:space="0" w:color="auto"/>
            <w:left w:val="none" w:sz="0" w:space="0" w:color="auto"/>
            <w:bottom w:val="single" w:sz="6" w:space="0" w:color="010101"/>
            <w:right w:val="none" w:sz="0" w:space="0" w:color="auto"/>
          </w:divBdr>
        </w:div>
      </w:divsChild>
    </w:div>
    <w:div w:id="1678575481">
      <w:bodyDiv w:val="1"/>
      <w:marLeft w:val="0"/>
      <w:marRight w:val="0"/>
      <w:marTop w:val="0"/>
      <w:marBottom w:val="0"/>
      <w:divBdr>
        <w:top w:val="none" w:sz="0" w:space="0" w:color="auto"/>
        <w:left w:val="none" w:sz="0" w:space="0" w:color="auto"/>
        <w:bottom w:val="none" w:sz="0" w:space="0" w:color="auto"/>
        <w:right w:val="none" w:sz="0" w:space="0" w:color="auto"/>
      </w:divBdr>
    </w:div>
    <w:div w:id="1945379200">
      <w:bodyDiv w:val="1"/>
      <w:marLeft w:val="0"/>
      <w:marRight w:val="0"/>
      <w:marTop w:val="0"/>
      <w:marBottom w:val="0"/>
      <w:divBdr>
        <w:top w:val="none" w:sz="0" w:space="0" w:color="auto"/>
        <w:left w:val="none" w:sz="0" w:space="0" w:color="auto"/>
        <w:bottom w:val="none" w:sz="0" w:space="0" w:color="auto"/>
        <w:right w:val="none" w:sz="0" w:space="0" w:color="auto"/>
      </w:divBdr>
      <w:divsChild>
        <w:div w:id="79954981">
          <w:marLeft w:val="0"/>
          <w:marRight w:val="0"/>
          <w:marTop w:val="0"/>
          <w:marBottom w:val="0"/>
          <w:divBdr>
            <w:top w:val="none" w:sz="0" w:space="0" w:color="auto"/>
            <w:left w:val="none" w:sz="0" w:space="0" w:color="auto"/>
            <w:bottom w:val="none" w:sz="0" w:space="0" w:color="auto"/>
            <w:right w:val="none" w:sz="0" w:space="0" w:color="auto"/>
          </w:divBdr>
        </w:div>
        <w:div w:id="1907521984">
          <w:marLeft w:val="0"/>
          <w:marRight w:val="0"/>
          <w:marTop w:val="0"/>
          <w:marBottom w:val="0"/>
          <w:divBdr>
            <w:top w:val="none" w:sz="0" w:space="0" w:color="auto"/>
            <w:left w:val="none" w:sz="0" w:space="0" w:color="auto"/>
            <w:bottom w:val="none" w:sz="0" w:space="0" w:color="auto"/>
            <w:right w:val="none" w:sz="0" w:space="0" w:color="auto"/>
          </w:divBdr>
          <w:divsChild>
            <w:div w:id="1995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mann.com/fileopen.aspx?id=101010000000016606&amp;source=link" TargetMode="External"/><Relationship Id="rId13" Type="http://schemas.openxmlformats.org/officeDocument/2006/relationships/hyperlink" Target="https://www.taxmann.com/fileopen.aspx?id=101010000000078717&amp;source=link" TargetMode="External"/><Relationship Id="rId18" Type="http://schemas.openxmlformats.org/officeDocument/2006/relationships/hyperlink" Target="https://www.taxmann.com/fileopen.aspx?id=101010000000019198&amp;source=link" TargetMode="External"/><Relationship Id="rId26" Type="http://schemas.openxmlformats.org/officeDocument/2006/relationships/hyperlink" Target="https://www.taxmann.com/fileopen.aspx?id=101010000000029114&amp;source=link" TargetMode="External"/><Relationship Id="rId3" Type="http://schemas.microsoft.com/office/2007/relationships/stylesWithEffects" Target="stylesWithEffects.xml"/><Relationship Id="rId21" Type="http://schemas.openxmlformats.org/officeDocument/2006/relationships/hyperlink" Target="https://www.taxmann.com/fileopen.aspx?id=101010000000018944&amp;source=link" TargetMode="External"/><Relationship Id="rId7" Type="http://schemas.openxmlformats.org/officeDocument/2006/relationships/hyperlink" Target="https://www.taxmann.com/fileopen.aspx?id=101010000000075058&amp;source=link" TargetMode="External"/><Relationship Id="rId12" Type="http://schemas.openxmlformats.org/officeDocument/2006/relationships/hyperlink" Target="https://www.taxmann.com/fileopen.aspx?id=101010000000075058&amp;source=link" TargetMode="External"/><Relationship Id="rId17" Type="http://schemas.openxmlformats.org/officeDocument/2006/relationships/hyperlink" Target="https://www.taxmann.com/fileopen.aspx?id=101010000000019198&amp;source=link" TargetMode="External"/><Relationship Id="rId25" Type="http://schemas.openxmlformats.org/officeDocument/2006/relationships/hyperlink" Target="https://www.taxmann.com/fileopen.aspx?id=101010000000073992&amp;source=link" TargetMode="External"/><Relationship Id="rId2" Type="http://schemas.openxmlformats.org/officeDocument/2006/relationships/styles" Target="styles.xml"/><Relationship Id="rId16" Type="http://schemas.openxmlformats.org/officeDocument/2006/relationships/hyperlink" Target="https://www.taxmann.com/fileopen.aspx?id=101010000000080807&amp;source=link" TargetMode="External"/><Relationship Id="rId20" Type="http://schemas.openxmlformats.org/officeDocument/2006/relationships/hyperlink" Target="https://www.taxmann.com/fileopen.aspx?id=101010000000058007&amp;source=li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xmann.com/fileopen.aspx?id=101010000000018425&amp;source=link" TargetMode="External"/><Relationship Id="rId11" Type="http://schemas.openxmlformats.org/officeDocument/2006/relationships/hyperlink" Target="https://www.taxmann.com/fileopen.aspx?id=101010000000018425&amp;source=link" TargetMode="External"/><Relationship Id="rId24" Type="http://schemas.openxmlformats.org/officeDocument/2006/relationships/hyperlink" Target="https://www.taxmann.com/fileopen.aspx?id=101010000000023819&amp;source=link" TargetMode="External"/><Relationship Id="rId5" Type="http://schemas.openxmlformats.org/officeDocument/2006/relationships/webSettings" Target="webSettings.xml"/><Relationship Id="rId15" Type="http://schemas.openxmlformats.org/officeDocument/2006/relationships/hyperlink" Target="https://www.taxmann.com/fileopen.aspx?id=101010000000080807&amp;source=link" TargetMode="External"/><Relationship Id="rId23" Type="http://schemas.openxmlformats.org/officeDocument/2006/relationships/hyperlink" Target="https://www.taxmann.com/fileopen.aspx?id=101010000000023819&amp;source=link" TargetMode="External"/><Relationship Id="rId28" Type="http://schemas.openxmlformats.org/officeDocument/2006/relationships/fontTable" Target="fontTable.xml"/><Relationship Id="rId10" Type="http://schemas.openxmlformats.org/officeDocument/2006/relationships/hyperlink" Target="https://www.taxmann.com/fileopen.aspx?id=101010000000018425&amp;source=link" TargetMode="External"/><Relationship Id="rId19" Type="http://schemas.openxmlformats.org/officeDocument/2006/relationships/hyperlink" Target="https://www.taxmann.com/fileopen.aspx?id=101010000000016606&amp;source=link" TargetMode="External"/><Relationship Id="rId4" Type="http://schemas.openxmlformats.org/officeDocument/2006/relationships/settings" Target="settings.xml"/><Relationship Id="rId9" Type="http://schemas.openxmlformats.org/officeDocument/2006/relationships/hyperlink" Target="https://www.taxmann.com/fileopen.aspx?id=101010000000078717&amp;source=link" TargetMode="External"/><Relationship Id="rId14" Type="http://schemas.openxmlformats.org/officeDocument/2006/relationships/hyperlink" Target="https://www.taxmann.com/fileopen.aspx?id=101010000000078536&amp;source=link" TargetMode="External"/><Relationship Id="rId22" Type="http://schemas.openxmlformats.org/officeDocument/2006/relationships/hyperlink" Target="https://www.taxmann.com/fileopen.aspx?id=101010000000018944&amp;source=link" TargetMode="External"/><Relationship Id="rId27" Type="http://schemas.openxmlformats.org/officeDocument/2006/relationships/hyperlink" Target="https://www.taxmann.com/fileopen.aspx?id=101010000000029114&amp;sourc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veeraja limaye</dc:creator>
  <cp:lastModifiedBy>veeraja limaye</cp:lastModifiedBy>
  <cp:revision>5</cp:revision>
  <dcterms:created xsi:type="dcterms:W3CDTF">2017-01-29T13:01:00Z</dcterms:created>
  <dcterms:modified xsi:type="dcterms:W3CDTF">2017-01-29T16:32:00Z</dcterms:modified>
</cp:coreProperties>
</file>